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9F1" w:rsidRPr="001B0626" w:rsidRDefault="00C2440F" w:rsidP="001B0626">
      <w:pPr>
        <w:widowControl/>
        <w:spacing w:line="360" w:lineRule="auto"/>
        <w:jc w:val="center"/>
        <w:outlineLvl w:val="0"/>
        <w:rPr>
          <w:rFonts w:ascii="黑体" w:eastAsia="黑体" w:hAnsi="黑体" w:cs="宋体"/>
          <w:b/>
          <w:bCs/>
          <w:color w:val="000000" w:themeColor="text1"/>
          <w:kern w:val="36"/>
          <w:sz w:val="28"/>
          <w:szCs w:val="28"/>
        </w:rPr>
      </w:pPr>
      <w:r>
        <w:rPr>
          <w:rFonts w:ascii="黑体" w:eastAsia="黑体" w:hAnsi="黑体" w:cs="宋体" w:hint="eastAsia"/>
          <w:b/>
          <w:bCs/>
          <w:color w:val="000000" w:themeColor="text1"/>
          <w:kern w:val="36"/>
          <w:sz w:val="28"/>
          <w:szCs w:val="28"/>
        </w:rPr>
        <w:t>同惠电子</w:t>
      </w:r>
      <w:bookmarkStart w:id="0" w:name="_GoBack"/>
      <w:bookmarkEnd w:id="0"/>
      <w:r w:rsidR="00A559F1" w:rsidRPr="001B0626">
        <w:rPr>
          <w:rFonts w:ascii="黑体" w:eastAsia="黑体" w:hAnsi="黑体" w:cs="宋体" w:hint="eastAsia"/>
          <w:b/>
          <w:bCs/>
          <w:color w:val="000000" w:themeColor="text1"/>
          <w:kern w:val="36"/>
          <w:sz w:val="28"/>
          <w:szCs w:val="28"/>
        </w:rPr>
        <w:t>2024年上半年净利润1886.09万元 同比增长14.53%</w:t>
      </w:r>
    </w:p>
    <w:p w:rsidR="00A559F1" w:rsidRPr="001B0626" w:rsidRDefault="00A559F1" w:rsidP="001B0626">
      <w:pPr>
        <w:widowControl/>
        <w:spacing w:line="360" w:lineRule="auto"/>
        <w:jc w:val="center"/>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来源：</w:t>
      </w:r>
      <w:proofErr w:type="gramStart"/>
      <w:r w:rsidRPr="001B0626">
        <w:rPr>
          <w:rFonts w:ascii="宋体" w:eastAsia="宋体" w:hAnsi="宋体" w:cs="宋体"/>
          <w:color w:val="000000" w:themeColor="text1"/>
          <w:kern w:val="0"/>
          <w:sz w:val="24"/>
          <w:szCs w:val="24"/>
        </w:rPr>
        <w:t>仪商网</w:t>
      </w:r>
      <w:proofErr w:type="gramEnd"/>
      <w:r w:rsidRPr="001B0626">
        <w:rPr>
          <w:rFonts w:ascii="宋体" w:eastAsia="宋体" w:hAnsi="宋体" w:cs="宋体"/>
          <w:color w:val="000000" w:themeColor="text1"/>
          <w:kern w:val="0"/>
          <w:sz w:val="24"/>
          <w:szCs w:val="24"/>
        </w:rPr>
        <w:t>综合</w:t>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8月19日，同</w:t>
      </w:r>
      <w:proofErr w:type="gramStart"/>
      <w:r w:rsidRPr="001B0626">
        <w:rPr>
          <w:rFonts w:ascii="宋体" w:eastAsia="宋体" w:hAnsi="宋体" w:cs="宋体"/>
          <w:color w:val="000000" w:themeColor="text1"/>
          <w:kern w:val="0"/>
          <w:sz w:val="24"/>
          <w:szCs w:val="24"/>
        </w:rPr>
        <w:t>惠电子</w:t>
      </w:r>
      <w:proofErr w:type="gramEnd"/>
      <w:r w:rsidRPr="001B0626">
        <w:rPr>
          <w:rFonts w:ascii="宋体" w:eastAsia="宋体" w:hAnsi="宋体" w:cs="宋体"/>
          <w:color w:val="000000" w:themeColor="text1"/>
          <w:kern w:val="0"/>
          <w:sz w:val="24"/>
          <w:szCs w:val="24"/>
        </w:rPr>
        <w:t>发布2024年中报，公司实现营业总收入8611.28万元，同比增长12.78%，</w:t>
      </w:r>
      <w:proofErr w:type="gramStart"/>
      <w:r w:rsidRPr="001B0626">
        <w:rPr>
          <w:rFonts w:ascii="宋体" w:eastAsia="宋体" w:hAnsi="宋体" w:cs="宋体"/>
          <w:color w:val="000000" w:themeColor="text1"/>
          <w:kern w:val="0"/>
          <w:sz w:val="24"/>
          <w:szCs w:val="24"/>
        </w:rPr>
        <w:t>归母净利润</w:t>
      </w:r>
      <w:proofErr w:type="gramEnd"/>
      <w:r w:rsidRPr="001B0626">
        <w:rPr>
          <w:rFonts w:ascii="宋体" w:eastAsia="宋体" w:hAnsi="宋体" w:cs="宋体"/>
          <w:color w:val="000000" w:themeColor="text1"/>
          <w:kern w:val="0"/>
          <w:sz w:val="24"/>
          <w:szCs w:val="24"/>
        </w:rPr>
        <w:t>1886.09万，同比增长14.53%。</w:t>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根据半年报，同</w:t>
      </w:r>
      <w:proofErr w:type="gramStart"/>
      <w:r w:rsidRPr="001B0626">
        <w:rPr>
          <w:rFonts w:ascii="宋体" w:eastAsia="宋体" w:hAnsi="宋体" w:cs="宋体"/>
          <w:color w:val="000000" w:themeColor="text1"/>
          <w:kern w:val="0"/>
          <w:sz w:val="24"/>
          <w:szCs w:val="24"/>
        </w:rPr>
        <w:t>惠电子</w:t>
      </w:r>
      <w:proofErr w:type="gramEnd"/>
      <w:r w:rsidRPr="001B0626">
        <w:rPr>
          <w:rFonts w:ascii="宋体" w:eastAsia="宋体" w:hAnsi="宋体" w:cs="宋体"/>
          <w:color w:val="000000" w:themeColor="text1"/>
          <w:kern w:val="0"/>
          <w:sz w:val="24"/>
          <w:szCs w:val="24"/>
        </w:rPr>
        <w:t>第二季度实现营业总收入5454.63万元，同比增长14.10%；</w:t>
      </w:r>
      <w:proofErr w:type="gramStart"/>
      <w:r w:rsidRPr="001B0626">
        <w:rPr>
          <w:rFonts w:ascii="宋体" w:eastAsia="宋体" w:hAnsi="宋体" w:cs="宋体"/>
          <w:color w:val="000000" w:themeColor="text1"/>
          <w:kern w:val="0"/>
          <w:sz w:val="24"/>
          <w:szCs w:val="24"/>
        </w:rPr>
        <w:t>归母净利润</w:t>
      </w:r>
      <w:proofErr w:type="gramEnd"/>
      <w:r w:rsidRPr="001B0626">
        <w:rPr>
          <w:rFonts w:ascii="宋体" w:eastAsia="宋体" w:hAnsi="宋体" w:cs="宋体"/>
          <w:color w:val="000000" w:themeColor="text1"/>
          <w:kern w:val="0"/>
          <w:sz w:val="24"/>
          <w:szCs w:val="24"/>
        </w:rPr>
        <w:t>1445.75万元，同比增长12.69%。</w:t>
      </w:r>
    </w:p>
    <w:p w:rsidR="00A559F1" w:rsidRPr="001B0626" w:rsidRDefault="00A559F1" w:rsidP="001B0626">
      <w:pPr>
        <w:widowControl/>
        <w:shd w:val="clear" w:color="auto" w:fill="FFFFFF"/>
        <w:spacing w:line="360" w:lineRule="auto"/>
        <w:jc w:val="center"/>
        <w:rPr>
          <w:rFonts w:ascii="宋体" w:eastAsia="宋体" w:hAnsi="宋体" w:cs="宋体"/>
          <w:color w:val="000000" w:themeColor="text1"/>
          <w:kern w:val="0"/>
          <w:sz w:val="24"/>
          <w:szCs w:val="24"/>
        </w:rPr>
      </w:pPr>
      <w:r w:rsidRPr="001B0626">
        <w:rPr>
          <w:rFonts w:ascii="宋体" w:eastAsia="宋体" w:hAnsi="宋体" w:cs="宋体" w:hint="eastAsia"/>
          <w:noProof/>
          <w:color w:val="000000" w:themeColor="text1"/>
          <w:kern w:val="0"/>
          <w:sz w:val="24"/>
          <w:szCs w:val="24"/>
        </w:rPr>
        <w:drawing>
          <wp:inline distT="0" distB="0" distL="0" distR="0" wp14:anchorId="4026CB04" wp14:editId="2B4724E2">
            <wp:extent cx="5144494" cy="1949186"/>
            <wp:effectExtent l="0" t="0" r="0" b="0"/>
            <wp:docPr id="3" name="图片 3" descr="https://www.861718.com/member/kindeditor/attached/image/20240821/20240821082310_22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40821/20240821082310_2253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4521" cy="1949196"/>
                    </a:xfrm>
                    <a:prstGeom prst="rect">
                      <a:avLst/>
                    </a:prstGeom>
                    <a:noFill/>
                    <a:ln>
                      <a:noFill/>
                    </a:ln>
                  </pic:spPr>
                </pic:pic>
              </a:graphicData>
            </a:graphic>
          </wp:inline>
        </w:drawing>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同</w:t>
      </w:r>
      <w:proofErr w:type="gramStart"/>
      <w:r w:rsidRPr="001B0626">
        <w:rPr>
          <w:rFonts w:ascii="宋体" w:eastAsia="宋体" w:hAnsi="宋体" w:cs="宋体"/>
          <w:color w:val="000000" w:themeColor="text1"/>
          <w:kern w:val="0"/>
          <w:sz w:val="24"/>
          <w:szCs w:val="24"/>
        </w:rPr>
        <w:t>惠电子</w:t>
      </w:r>
      <w:proofErr w:type="gramEnd"/>
      <w:r w:rsidRPr="001B0626">
        <w:rPr>
          <w:rFonts w:ascii="宋体" w:eastAsia="宋体" w:hAnsi="宋体" w:cs="宋体"/>
          <w:color w:val="000000" w:themeColor="text1"/>
          <w:kern w:val="0"/>
          <w:sz w:val="24"/>
          <w:szCs w:val="24"/>
        </w:rPr>
        <w:t>是一家集电子测量仪器研发、生产和销售于一体的高新技术企业，公司始终专注于电子测量仪器的技术研发与产品开发，尤其在精密阻抗测量领域具有三十年测试理论、测试技术和实践经验的积累。公司基于对行业发展前景和电子测量仪器产业链扩展的深度理解，进一步深耕传统电子测量领域，不断拓展半导体器件测试、新能源及电池测试应用场景，致力于成为国际领先的电子测量综合解决方案提供商。</w:t>
      </w:r>
    </w:p>
    <w:p w:rsidR="00A559F1" w:rsidRPr="001B0626" w:rsidRDefault="00A559F1" w:rsidP="001B0626">
      <w:pPr>
        <w:widowControl/>
        <w:shd w:val="clear" w:color="auto" w:fill="FFFFFF"/>
        <w:spacing w:line="360" w:lineRule="auto"/>
        <w:jc w:val="center"/>
        <w:rPr>
          <w:rFonts w:ascii="宋体" w:eastAsia="宋体" w:hAnsi="宋体" w:cs="宋体"/>
          <w:color w:val="000000" w:themeColor="text1"/>
          <w:kern w:val="0"/>
          <w:sz w:val="24"/>
          <w:szCs w:val="24"/>
        </w:rPr>
      </w:pPr>
      <w:r w:rsidRPr="001B0626">
        <w:rPr>
          <w:rFonts w:ascii="宋体" w:eastAsia="宋体" w:hAnsi="宋体" w:cs="宋体" w:hint="eastAsia"/>
          <w:noProof/>
          <w:color w:val="000000" w:themeColor="text1"/>
          <w:kern w:val="0"/>
          <w:sz w:val="24"/>
          <w:szCs w:val="24"/>
        </w:rPr>
        <w:drawing>
          <wp:inline distT="0" distB="0" distL="0" distR="0" wp14:anchorId="6F19F3E0" wp14:editId="51ADD02F">
            <wp:extent cx="4357315" cy="2581842"/>
            <wp:effectExtent l="0" t="0" r="5715" b="9525"/>
            <wp:docPr id="2" name="图片 2" descr="https://www.861718.com/member/kindeditor/attached/image/20240821/20240821082333_43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member/kindeditor/attached/image/20240821/20240821082333_4309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7846" cy="2582157"/>
                    </a:xfrm>
                    <a:prstGeom prst="rect">
                      <a:avLst/>
                    </a:prstGeom>
                    <a:noFill/>
                    <a:ln>
                      <a:noFill/>
                    </a:ln>
                  </pic:spPr>
                </pic:pic>
              </a:graphicData>
            </a:graphic>
          </wp:inline>
        </w:drawing>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lastRenderedPageBreak/>
        <w:t>公司的主要产品为各类电子测量仪器，主要包括元件参数测试仪器、安</w:t>
      </w:r>
      <w:proofErr w:type="gramStart"/>
      <w:r w:rsidRPr="001B0626">
        <w:rPr>
          <w:rFonts w:ascii="宋体" w:eastAsia="宋体" w:hAnsi="宋体" w:cs="宋体"/>
          <w:color w:val="000000" w:themeColor="text1"/>
          <w:kern w:val="0"/>
          <w:sz w:val="24"/>
          <w:szCs w:val="24"/>
        </w:rPr>
        <w:t>规</w:t>
      </w:r>
      <w:proofErr w:type="gramEnd"/>
      <w:r w:rsidRPr="001B0626">
        <w:rPr>
          <w:rFonts w:ascii="宋体" w:eastAsia="宋体" w:hAnsi="宋体" w:cs="宋体"/>
          <w:color w:val="000000" w:themeColor="text1"/>
          <w:kern w:val="0"/>
          <w:sz w:val="24"/>
          <w:szCs w:val="24"/>
        </w:rPr>
        <w:t>线材测试仪器、微弱信号检测仪器、电力电子测试仪器、其它类测试仪器等五大类，主要用于各种电子元器件、材料、电子零部件、电子整机等被测对象的性能测试、测量、试验验证及品质保证，经公司仪器检测过的产品被广泛应用于消费电子、通讯、半导体、新能源、家用电器等领域。</w:t>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分产品来看，2024年上半年公司主营业务中，元件参数测试仪器收入4151.82万元，同比增长15.55%，占营业收入的48.21%；安</w:t>
      </w:r>
      <w:proofErr w:type="gramStart"/>
      <w:r w:rsidRPr="001B0626">
        <w:rPr>
          <w:rFonts w:ascii="宋体" w:eastAsia="宋体" w:hAnsi="宋体" w:cs="宋体"/>
          <w:color w:val="000000" w:themeColor="text1"/>
          <w:kern w:val="0"/>
          <w:sz w:val="24"/>
          <w:szCs w:val="24"/>
        </w:rPr>
        <w:t>规</w:t>
      </w:r>
      <w:proofErr w:type="gramEnd"/>
      <w:r w:rsidRPr="001B0626">
        <w:rPr>
          <w:rFonts w:ascii="宋体" w:eastAsia="宋体" w:hAnsi="宋体" w:cs="宋体"/>
          <w:color w:val="000000" w:themeColor="text1"/>
          <w:kern w:val="0"/>
          <w:sz w:val="24"/>
          <w:szCs w:val="24"/>
        </w:rPr>
        <w:t>线材测试仪器收入2046.98万元，同比增长20.12%，占营业收入的23.77%；微弱信号检测仪器收入1450.53万元，同比增长0.55%，占营业收入的16.84%。</w:t>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2024年上半年，公司毛利率为55.58%，同比下降3.29个百分点；净利率为21.80%，较上年同期上升0.25个百分点。从单季度指标来看，2024年第二季度公司毛利率为56.71%，同比下降4.02个百分点，环比上升3.10个百分点；净利率为26.49%，较上年同期下降0.49个百分点，较上一季度上升12.80个百分点。</w:t>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分产品看，元件参数测试仪器、安</w:t>
      </w:r>
      <w:proofErr w:type="gramStart"/>
      <w:r w:rsidRPr="001B0626">
        <w:rPr>
          <w:rFonts w:ascii="宋体" w:eastAsia="宋体" w:hAnsi="宋体" w:cs="宋体"/>
          <w:color w:val="000000" w:themeColor="text1"/>
          <w:kern w:val="0"/>
          <w:sz w:val="24"/>
          <w:szCs w:val="24"/>
        </w:rPr>
        <w:t>规</w:t>
      </w:r>
      <w:proofErr w:type="gramEnd"/>
      <w:r w:rsidRPr="001B0626">
        <w:rPr>
          <w:rFonts w:ascii="宋体" w:eastAsia="宋体" w:hAnsi="宋体" w:cs="宋体"/>
          <w:color w:val="000000" w:themeColor="text1"/>
          <w:kern w:val="0"/>
          <w:sz w:val="24"/>
          <w:szCs w:val="24"/>
        </w:rPr>
        <w:t>线材测试仪器、微弱信号检测仪器2024年上半年毛利率分别为64.58%、43.36%、48.89%。</w:t>
      </w:r>
    </w:p>
    <w:p w:rsidR="00A559F1" w:rsidRPr="001B0626" w:rsidRDefault="00A559F1" w:rsidP="001B0626">
      <w:pPr>
        <w:widowControl/>
        <w:shd w:val="clear" w:color="auto" w:fill="FFFFFF"/>
        <w:spacing w:line="360" w:lineRule="auto"/>
        <w:jc w:val="center"/>
        <w:rPr>
          <w:rFonts w:ascii="宋体" w:eastAsia="宋体" w:hAnsi="宋体" w:cs="宋体"/>
          <w:color w:val="000000" w:themeColor="text1"/>
          <w:kern w:val="0"/>
          <w:sz w:val="24"/>
          <w:szCs w:val="24"/>
        </w:rPr>
      </w:pPr>
      <w:r w:rsidRPr="001B0626">
        <w:rPr>
          <w:rFonts w:ascii="宋体" w:eastAsia="宋体" w:hAnsi="宋体" w:cs="宋体" w:hint="eastAsia"/>
          <w:noProof/>
          <w:color w:val="000000" w:themeColor="text1"/>
          <w:kern w:val="0"/>
          <w:sz w:val="24"/>
          <w:szCs w:val="24"/>
        </w:rPr>
        <w:drawing>
          <wp:inline distT="0" distB="0" distL="0" distR="0" wp14:anchorId="1AD3C267" wp14:editId="48D5B7DE">
            <wp:extent cx="4654621" cy="2512612"/>
            <wp:effectExtent l="0" t="0" r="0" b="2540"/>
            <wp:docPr id="1" name="图片 1" descr="https://www.861718.com/member/kindeditor/attached/image/20240821/20240821082403_5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member/kindeditor/attached/image/20240821/20240821082403_531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4646" cy="2512625"/>
                    </a:xfrm>
                    <a:prstGeom prst="rect">
                      <a:avLst/>
                    </a:prstGeom>
                    <a:noFill/>
                    <a:ln>
                      <a:noFill/>
                    </a:ln>
                  </pic:spPr>
                </pic:pic>
              </a:graphicData>
            </a:graphic>
          </wp:inline>
        </w:drawing>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1B0626">
        <w:rPr>
          <w:rFonts w:ascii="宋体" w:eastAsia="宋体" w:hAnsi="宋体" w:cs="宋体"/>
          <w:color w:val="000000" w:themeColor="text1"/>
          <w:kern w:val="0"/>
          <w:sz w:val="24"/>
          <w:szCs w:val="24"/>
        </w:rPr>
        <w:t>8月20日，同</w:t>
      </w:r>
      <w:proofErr w:type="gramStart"/>
      <w:r w:rsidRPr="001B0626">
        <w:rPr>
          <w:rFonts w:ascii="宋体" w:eastAsia="宋体" w:hAnsi="宋体" w:cs="宋体"/>
          <w:color w:val="000000" w:themeColor="text1"/>
          <w:kern w:val="0"/>
          <w:sz w:val="24"/>
          <w:szCs w:val="24"/>
        </w:rPr>
        <w:t>惠电子</w:t>
      </w:r>
      <w:proofErr w:type="gramEnd"/>
      <w:r w:rsidRPr="001B0626">
        <w:rPr>
          <w:rFonts w:ascii="宋体" w:eastAsia="宋体" w:hAnsi="宋体" w:cs="宋体"/>
          <w:color w:val="000000" w:themeColor="text1"/>
          <w:kern w:val="0"/>
          <w:sz w:val="24"/>
          <w:szCs w:val="24"/>
        </w:rPr>
        <w:t>获得开源证券买入评级，近一个月同</w:t>
      </w:r>
      <w:proofErr w:type="gramStart"/>
      <w:r w:rsidRPr="001B0626">
        <w:rPr>
          <w:rFonts w:ascii="宋体" w:eastAsia="宋体" w:hAnsi="宋体" w:cs="宋体"/>
          <w:color w:val="000000" w:themeColor="text1"/>
          <w:kern w:val="0"/>
          <w:sz w:val="24"/>
          <w:szCs w:val="24"/>
        </w:rPr>
        <w:t>惠电子</w:t>
      </w:r>
      <w:proofErr w:type="gramEnd"/>
      <w:r w:rsidRPr="001B0626">
        <w:rPr>
          <w:rFonts w:ascii="宋体" w:eastAsia="宋体" w:hAnsi="宋体" w:cs="宋体"/>
          <w:color w:val="000000" w:themeColor="text1"/>
          <w:kern w:val="0"/>
          <w:sz w:val="24"/>
          <w:szCs w:val="24"/>
        </w:rPr>
        <w:t>获得2份</w:t>
      </w:r>
      <w:proofErr w:type="gramStart"/>
      <w:r w:rsidRPr="001B0626">
        <w:rPr>
          <w:rFonts w:ascii="宋体" w:eastAsia="宋体" w:hAnsi="宋体" w:cs="宋体"/>
          <w:color w:val="000000" w:themeColor="text1"/>
          <w:kern w:val="0"/>
          <w:sz w:val="24"/>
          <w:szCs w:val="24"/>
        </w:rPr>
        <w:t>研</w:t>
      </w:r>
      <w:proofErr w:type="gramEnd"/>
      <w:r w:rsidRPr="001B0626">
        <w:rPr>
          <w:rFonts w:ascii="宋体" w:eastAsia="宋体" w:hAnsi="宋体" w:cs="宋体"/>
          <w:color w:val="000000" w:themeColor="text1"/>
          <w:kern w:val="0"/>
          <w:sz w:val="24"/>
          <w:szCs w:val="24"/>
        </w:rPr>
        <w:t>报关注。</w:t>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roofErr w:type="gramStart"/>
      <w:r w:rsidRPr="001B0626">
        <w:rPr>
          <w:rFonts w:ascii="宋体" w:eastAsia="宋体" w:hAnsi="宋体" w:cs="宋体"/>
          <w:color w:val="000000" w:themeColor="text1"/>
          <w:kern w:val="0"/>
          <w:sz w:val="24"/>
          <w:szCs w:val="24"/>
        </w:rPr>
        <w:t>研</w:t>
      </w:r>
      <w:proofErr w:type="gramEnd"/>
      <w:r w:rsidRPr="001B0626">
        <w:rPr>
          <w:rFonts w:ascii="宋体" w:eastAsia="宋体" w:hAnsi="宋体" w:cs="宋体"/>
          <w:color w:val="000000" w:themeColor="text1"/>
          <w:kern w:val="0"/>
          <w:sz w:val="24"/>
          <w:szCs w:val="24"/>
        </w:rPr>
        <w:t>报评估，2024年上半年，公司营收8611万元，同比增长13%，</w:t>
      </w:r>
      <w:proofErr w:type="gramStart"/>
      <w:r w:rsidRPr="001B0626">
        <w:rPr>
          <w:rFonts w:ascii="宋体" w:eastAsia="宋体" w:hAnsi="宋体" w:cs="宋体"/>
          <w:color w:val="000000" w:themeColor="text1"/>
          <w:kern w:val="0"/>
          <w:sz w:val="24"/>
          <w:szCs w:val="24"/>
        </w:rPr>
        <w:t>归母净利润</w:t>
      </w:r>
      <w:proofErr w:type="gramEnd"/>
      <w:r w:rsidRPr="001B0626">
        <w:rPr>
          <w:rFonts w:ascii="宋体" w:eastAsia="宋体" w:hAnsi="宋体" w:cs="宋体"/>
          <w:color w:val="000000" w:themeColor="text1"/>
          <w:kern w:val="0"/>
          <w:sz w:val="24"/>
          <w:szCs w:val="24"/>
        </w:rPr>
        <w:t>1886万元，同比增长15%，</w:t>
      </w:r>
      <w:proofErr w:type="gramStart"/>
      <w:r w:rsidRPr="001B0626">
        <w:rPr>
          <w:rFonts w:ascii="宋体" w:eastAsia="宋体" w:hAnsi="宋体" w:cs="宋体"/>
          <w:color w:val="000000" w:themeColor="text1"/>
          <w:kern w:val="0"/>
          <w:sz w:val="24"/>
          <w:szCs w:val="24"/>
        </w:rPr>
        <w:t>扣非归母净</w:t>
      </w:r>
      <w:proofErr w:type="gramEnd"/>
      <w:r w:rsidRPr="001B0626">
        <w:rPr>
          <w:rFonts w:ascii="宋体" w:eastAsia="宋体" w:hAnsi="宋体" w:cs="宋体"/>
          <w:color w:val="000000" w:themeColor="text1"/>
          <w:kern w:val="0"/>
          <w:sz w:val="24"/>
          <w:szCs w:val="24"/>
        </w:rPr>
        <w:t>利润为1747万元，同比增长10%，经营性现金流净额3376.75万元，同比增长182%。此外，开源证券对公司2024-2026年的盈利预期保持不变，预计公司2024-2026年</w:t>
      </w:r>
      <w:proofErr w:type="gramStart"/>
      <w:r w:rsidRPr="001B0626">
        <w:rPr>
          <w:rFonts w:ascii="宋体" w:eastAsia="宋体" w:hAnsi="宋体" w:cs="宋体"/>
          <w:color w:val="000000" w:themeColor="text1"/>
          <w:kern w:val="0"/>
          <w:sz w:val="24"/>
          <w:szCs w:val="24"/>
        </w:rPr>
        <w:t>归母净利润</w:t>
      </w:r>
      <w:proofErr w:type="gramEnd"/>
      <w:r w:rsidRPr="001B0626">
        <w:rPr>
          <w:rFonts w:ascii="宋体" w:eastAsia="宋体" w:hAnsi="宋体" w:cs="宋体"/>
          <w:color w:val="000000" w:themeColor="text1"/>
          <w:kern w:val="0"/>
          <w:sz w:val="24"/>
          <w:szCs w:val="24"/>
        </w:rPr>
        <w:t>分别为0.50/0.70/0.84亿元。上半年，电子信息制造业增加值同比增长13.3%，公司华南区营收同比增长36%。新产品销售收入逐年增加。</w:t>
      </w:r>
    </w:p>
    <w:p w:rsidR="00A559F1" w:rsidRPr="001B0626" w:rsidRDefault="00A559F1" w:rsidP="001B0626">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roofErr w:type="gramStart"/>
      <w:r w:rsidRPr="001B0626">
        <w:rPr>
          <w:rFonts w:ascii="宋体" w:eastAsia="宋体" w:hAnsi="宋体" w:cs="宋体"/>
          <w:color w:val="000000" w:themeColor="text1"/>
          <w:kern w:val="0"/>
          <w:sz w:val="24"/>
          <w:szCs w:val="24"/>
        </w:rPr>
        <w:t>研</w:t>
      </w:r>
      <w:proofErr w:type="gramEnd"/>
      <w:r w:rsidRPr="001B0626">
        <w:rPr>
          <w:rFonts w:ascii="宋体" w:eastAsia="宋体" w:hAnsi="宋体" w:cs="宋体"/>
          <w:color w:val="000000" w:themeColor="text1"/>
          <w:kern w:val="0"/>
          <w:sz w:val="24"/>
          <w:szCs w:val="24"/>
        </w:rPr>
        <w:t>报认为，同</w:t>
      </w:r>
      <w:proofErr w:type="gramStart"/>
      <w:r w:rsidRPr="001B0626">
        <w:rPr>
          <w:rFonts w:ascii="宋体" w:eastAsia="宋体" w:hAnsi="宋体" w:cs="宋体"/>
          <w:color w:val="000000" w:themeColor="text1"/>
          <w:kern w:val="0"/>
          <w:sz w:val="24"/>
          <w:szCs w:val="24"/>
        </w:rPr>
        <w:t>惠电子</w:t>
      </w:r>
      <w:proofErr w:type="gramEnd"/>
      <w:r w:rsidRPr="001B0626">
        <w:rPr>
          <w:rFonts w:ascii="宋体" w:eastAsia="宋体" w:hAnsi="宋体" w:cs="宋体"/>
          <w:color w:val="000000" w:themeColor="text1"/>
          <w:kern w:val="0"/>
          <w:sz w:val="24"/>
          <w:szCs w:val="24"/>
        </w:rPr>
        <w:t>已经积极布局半导体器件和新能源产业，公司在汽车芯片尤其是第三代功率半导体领域早有布局，代表产品如TH51X系列半导体器件C-V特性分析仪等，TH600系列大规模线束测试系统将填补国内在新能源汽车线束、储能/新能源电池模组、高铁、航空航天等领域的空白，TH2851系列、TH511/512/513、TH1991系列、TH2690系列等半导体领域产品销售收入逐年增加。此外，公司注重研发投入，持续推出新产品如TH2851系列精密阻抗分析仪等，领先的产品技术有望助力公司在半导体器件测试领域的深入发展和营收增长。</w:t>
      </w:r>
    </w:p>
    <w:p w:rsidR="00E73013" w:rsidRPr="001B0626" w:rsidRDefault="00E73013" w:rsidP="001B0626">
      <w:pPr>
        <w:spacing w:line="360" w:lineRule="auto"/>
        <w:ind w:firstLineChars="200" w:firstLine="480"/>
        <w:rPr>
          <w:rFonts w:ascii="宋体" w:eastAsia="宋体" w:hAnsi="宋体"/>
          <w:color w:val="000000" w:themeColor="text1"/>
          <w:sz w:val="24"/>
          <w:szCs w:val="24"/>
        </w:rPr>
      </w:pPr>
    </w:p>
    <w:sectPr w:rsidR="00E73013" w:rsidRPr="001B062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F9F"/>
    <w:rsid w:val="001B0626"/>
    <w:rsid w:val="00A559F1"/>
    <w:rsid w:val="00C2440F"/>
    <w:rsid w:val="00CD3F9F"/>
    <w:rsid w:val="00E73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559F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59F1"/>
    <w:rPr>
      <w:rFonts w:ascii="宋体" w:eastAsia="宋体" w:hAnsi="宋体" w:cs="宋体"/>
      <w:b/>
      <w:bCs/>
      <w:kern w:val="36"/>
      <w:sz w:val="48"/>
      <w:szCs w:val="48"/>
    </w:rPr>
  </w:style>
  <w:style w:type="paragraph" w:styleId="a3">
    <w:name w:val="Normal (Web)"/>
    <w:basedOn w:val="a"/>
    <w:uiPriority w:val="99"/>
    <w:semiHidden/>
    <w:unhideWhenUsed/>
    <w:rsid w:val="00A559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A559F1"/>
    <w:rPr>
      <w:sz w:val="18"/>
      <w:szCs w:val="18"/>
    </w:rPr>
  </w:style>
  <w:style w:type="character" w:customStyle="1" w:styleId="Char">
    <w:name w:val="批注框文本 Char"/>
    <w:basedOn w:val="a0"/>
    <w:link w:val="a4"/>
    <w:uiPriority w:val="99"/>
    <w:semiHidden/>
    <w:rsid w:val="00A559F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559F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59F1"/>
    <w:rPr>
      <w:rFonts w:ascii="宋体" w:eastAsia="宋体" w:hAnsi="宋体" w:cs="宋体"/>
      <w:b/>
      <w:bCs/>
      <w:kern w:val="36"/>
      <w:sz w:val="48"/>
      <w:szCs w:val="48"/>
    </w:rPr>
  </w:style>
  <w:style w:type="paragraph" w:styleId="a3">
    <w:name w:val="Normal (Web)"/>
    <w:basedOn w:val="a"/>
    <w:uiPriority w:val="99"/>
    <w:semiHidden/>
    <w:unhideWhenUsed/>
    <w:rsid w:val="00A559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A559F1"/>
    <w:rPr>
      <w:sz w:val="18"/>
      <w:szCs w:val="18"/>
    </w:rPr>
  </w:style>
  <w:style w:type="character" w:customStyle="1" w:styleId="Char">
    <w:name w:val="批注框文本 Char"/>
    <w:basedOn w:val="a0"/>
    <w:link w:val="a4"/>
    <w:uiPriority w:val="99"/>
    <w:semiHidden/>
    <w:rsid w:val="00A559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568078">
      <w:bodyDiv w:val="1"/>
      <w:marLeft w:val="0"/>
      <w:marRight w:val="0"/>
      <w:marTop w:val="0"/>
      <w:marBottom w:val="0"/>
      <w:divBdr>
        <w:top w:val="none" w:sz="0" w:space="0" w:color="auto"/>
        <w:left w:val="none" w:sz="0" w:space="0" w:color="auto"/>
        <w:bottom w:val="none" w:sz="0" w:space="0" w:color="auto"/>
        <w:right w:val="none" w:sz="0" w:space="0" w:color="auto"/>
      </w:divBdr>
      <w:divsChild>
        <w:div w:id="775713754">
          <w:marLeft w:val="0"/>
          <w:marRight w:val="0"/>
          <w:marTop w:val="165"/>
          <w:marBottom w:val="0"/>
          <w:divBdr>
            <w:top w:val="none" w:sz="0" w:space="0" w:color="auto"/>
            <w:left w:val="none" w:sz="0" w:space="0" w:color="auto"/>
            <w:bottom w:val="none" w:sz="0" w:space="0" w:color="auto"/>
            <w:right w:val="none" w:sz="0" w:space="0" w:color="auto"/>
          </w:divBdr>
        </w:div>
        <w:div w:id="1292712712">
          <w:marLeft w:val="0"/>
          <w:marRight w:val="0"/>
          <w:marTop w:val="0"/>
          <w:marBottom w:val="0"/>
          <w:divBdr>
            <w:top w:val="none" w:sz="0" w:space="0" w:color="auto"/>
            <w:left w:val="none" w:sz="0" w:space="0" w:color="auto"/>
            <w:bottom w:val="none" w:sz="0" w:space="0" w:color="auto"/>
            <w:right w:val="none" w:sz="0" w:space="0" w:color="auto"/>
          </w:divBdr>
          <w:divsChild>
            <w:div w:id="1439329196">
              <w:marLeft w:val="0"/>
              <w:marRight w:val="0"/>
              <w:marTop w:val="0"/>
              <w:marBottom w:val="0"/>
              <w:divBdr>
                <w:top w:val="none" w:sz="0" w:space="0" w:color="auto"/>
                <w:left w:val="none" w:sz="0" w:space="0" w:color="auto"/>
                <w:bottom w:val="none" w:sz="0" w:space="0" w:color="auto"/>
                <w:right w:val="none" w:sz="0" w:space="0" w:color="auto"/>
              </w:divBdr>
              <w:divsChild>
                <w:div w:id="3358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692">
          <w:marLeft w:val="0"/>
          <w:marRight w:val="0"/>
          <w:marTop w:val="0"/>
          <w:marBottom w:val="0"/>
          <w:divBdr>
            <w:top w:val="none" w:sz="0" w:space="0" w:color="auto"/>
            <w:left w:val="none" w:sz="0" w:space="0" w:color="auto"/>
            <w:bottom w:val="none" w:sz="0" w:space="0" w:color="auto"/>
            <w:right w:val="none" w:sz="0" w:space="0" w:color="auto"/>
          </w:divBdr>
          <w:divsChild>
            <w:div w:id="12142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216</Words>
  <Characters>1236</Characters>
  <Application>Microsoft Office Word</Application>
  <DocSecurity>0</DocSecurity>
  <Lines>10</Lines>
  <Paragraphs>2</Paragraphs>
  <ScaleCrop>false</ScaleCrop>
  <Company>Organization</Company>
  <LinksUpToDate>false</LinksUpToDate>
  <CharactersWithSpaces>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4</cp:revision>
  <dcterms:created xsi:type="dcterms:W3CDTF">2024-08-23T01:33:00Z</dcterms:created>
  <dcterms:modified xsi:type="dcterms:W3CDTF">2024-08-23T04:33:00Z</dcterms:modified>
</cp:coreProperties>
</file>