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1A8" w:rsidRDefault="00A521A8" w:rsidP="00A521A8">
      <w:pPr>
        <w:widowControl/>
        <w:spacing w:line="360" w:lineRule="auto"/>
        <w:jc w:val="center"/>
        <w:outlineLvl w:val="0"/>
        <w:rPr>
          <w:rFonts w:ascii="黑体" w:eastAsia="黑体" w:hAnsi="黑体" w:cs="宋体" w:hint="eastAsia"/>
          <w:b/>
          <w:bCs/>
          <w:color w:val="000000" w:themeColor="text1"/>
          <w:kern w:val="36"/>
          <w:sz w:val="28"/>
          <w:szCs w:val="28"/>
        </w:rPr>
      </w:pPr>
      <w:r w:rsidRPr="00A521A8">
        <w:rPr>
          <w:rFonts w:ascii="黑体" w:eastAsia="黑体" w:hAnsi="黑体" w:cs="宋体" w:hint="eastAsia"/>
          <w:b/>
          <w:bCs/>
          <w:color w:val="000000" w:themeColor="text1"/>
          <w:kern w:val="36"/>
          <w:sz w:val="28"/>
          <w:szCs w:val="28"/>
        </w:rPr>
        <w:t>中国电子信息产业发展研究院发布</w:t>
      </w:r>
      <w:proofErr w:type="gramStart"/>
      <w:r w:rsidRPr="00A521A8">
        <w:rPr>
          <w:rFonts w:ascii="黑体" w:eastAsia="黑体" w:hAnsi="黑体" w:cs="宋体" w:hint="eastAsia"/>
          <w:b/>
          <w:bCs/>
          <w:color w:val="000000" w:themeColor="text1"/>
          <w:kern w:val="36"/>
          <w:sz w:val="28"/>
          <w:szCs w:val="28"/>
        </w:rPr>
        <w:t>《</w:t>
      </w:r>
      <w:proofErr w:type="gramEnd"/>
      <w:r w:rsidRPr="00A521A8">
        <w:rPr>
          <w:rFonts w:ascii="黑体" w:eastAsia="黑体" w:hAnsi="黑体" w:cs="宋体" w:hint="eastAsia"/>
          <w:b/>
          <w:bCs/>
          <w:color w:val="000000" w:themeColor="text1"/>
          <w:kern w:val="36"/>
          <w:sz w:val="28"/>
          <w:szCs w:val="28"/>
        </w:rPr>
        <w:t>中国新型显示产业</w:t>
      </w:r>
    </w:p>
    <w:p w:rsidR="00A521A8" w:rsidRPr="00A521A8" w:rsidRDefault="00A521A8" w:rsidP="00A521A8">
      <w:pPr>
        <w:widowControl/>
        <w:spacing w:line="360" w:lineRule="auto"/>
        <w:jc w:val="center"/>
        <w:outlineLvl w:val="0"/>
        <w:rPr>
          <w:rFonts w:ascii="黑体" w:eastAsia="黑体" w:hAnsi="黑体" w:cs="宋体"/>
          <w:b/>
          <w:bCs/>
          <w:color w:val="000000" w:themeColor="text1"/>
          <w:kern w:val="36"/>
          <w:sz w:val="28"/>
          <w:szCs w:val="28"/>
        </w:rPr>
      </w:pPr>
      <w:bookmarkStart w:id="0" w:name="_GoBack"/>
      <w:bookmarkEnd w:id="0"/>
      <w:r w:rsidRPr="00A521A8">
        <w:rPr>
          <w:rFonts w:ascii="黑体" w:eastAsia="黑体" w:hAnsi="黑体" w:cs="宋体" w:hint="eastAsia"/>
          <w:b/>
          <w:bCs/>
          <w:color w:val="000000" w:themeColor="text1"/>
          <w:kern w:val="36"/>
          <w:sz w:val="28"/>
          <w:szCs w:val="28"/>
        </w:rPr>
        <w:t>高质量发展指数（2024年）》</w:t>
      </w:r>
    </w:p>
    <w:p w:rsidR="00A521A8" w:rsidRPr="00A521A8" w:rsidRDefault="00A521A8" w:rsidP="00A521A8">
      <w:pPr>
        <w:widowControl/>
        <w:spacing w:line="360" w:lineRule="auto"/>
        <w:jc w:val="center"/>
        <w:rPr>
          <w:rFonts w:ascii="宋体" w:eastAsia="宋体" w:hAnsi="宋体" w:cs="宋体" w:hint="eastAsia"/>
          <w:color w:val="000000" w:themeColor="text1"/>
          <w:kern w:val="0"/>
          <w:sz w:val="24"/>
          <w:szCs w:val="24"/>
        </w:rPr>
      </w:pPr>
      <w:r w:rsidRPr="00A521A8">
        <w:rPr>
          <w:rFonts w:ascii="宋体" w:eastAsia="宋体" w:hAnsi="宋体" w:cs="宋体" w:hint="eastAsia"/>
          <w:color w:val="000000" w:themeColor="text1"/>
          <w:kern w:val="0"/>
          <w:sz w:val="24"/>
          <w:szCs w:val="24"/>
        </w:rPr>
        <w:t>来源：中国电子报、电子信息</w:t>
      </w:r>
      <w:proofErr w:type="gramStart"/>
      <w:r w:rsidRPr="00A521A8">
        <w:rPr>
          <w:rFonts w:ascii="宋体" w:eastAsia="宋体" w:hAnsi="宋体" w:cs="宋体" w:hint="eastAsia"/>
          <w:color w:val="000000" w:themeColor="text1"/>
          <w:kern w:val="0"/>
          <w:sz w:val="24"/>
          <w:szCs w:val="24"/>
        </w:rPr>
        <w:t>产业网</w:t>
      </w:r>
      <w:proofErr w:type="gramEnd"/>
      <w:r w:rsidRPr="00A521A8">
        <w:rPr>
          <w:rFonts w:ascii="宋体" w:eastAsia="宋体" w:hAnsi="宋体" w:cs="宋体" w:hint="eastAsia"/>
          <w:color w:val="000000" w:themeColor="text1"/>
          <w:kern w:val="0"/>
          <w:sz w:val="24"/>
          <w:szCs w:val="24"/>
        </w:rPr>
        <w:t xml:space="preserve">  </w:t>
      </w:r>
      <w:r w:rsidRPr="00A521A8">
        <w:rPr>
          <w:rFonts w:ascii="宋体" w:eastAsia="宋体" w:hAnsi="宋体" w:cs="宋体" w:hint="eastAsia"/>
          <w:color w:val="000000" w:themeColor="text1"/>
          <w:kern w:val="0"/>
          <w:sz w:val="24"/>
          <w:szCs w:val="24"/>
        </w:rPr>
        <w:t>作者：张心怡</w:t>
      </w:r>
    </w:p>
    <w:p w:rsidR="00A521A8" w:rsidRPr="00A521A8" w:rsidRDefault="00A521A8" w:rsidP="00A521A8">
      <w:pPr>
        <w:widowControl/>
        <w:spacing w:line="360" w:lineRule="auto"/>
        <w:ind w:firstLineChars="200" w:firstLine="480"/>
        <w:jc w:val="left"/>
        <w:rPr>
          <w:rFonts w:ascii="宋体" w:eastAsia="宋体" w:hAnsi="宋体" w:cs="宋体" w:hint="eastAsia"/>
          <w:color w:val="000000" w:themeColor="text1"/>
          <w:kern w:val="0"/>
          <w:sz w:val="24"/>
          <w:szCs w:val="24"/>
        </w:rPr>
      </w:pPr>
      <w:r w:rsidRPr="00A521A8">
        <w:rPr>
          <w:rFonts w:ascii="宋体" w:eastAsia="宋体" w:hAnsi="宋体" w:cs="宋体" w:hint="eastAsia"/>
          <w:color w:val="000000" w:themeColor="text1"/>
          <w:kern w:val="0"/>
          <w:sz w:val="24"/>
          <w:szCs w:val="24"/>
        </w:rPr>
        <w:t>中国电子信息产业发展研究院发布《中国新型显示产业高质量发展指数（2024年）》</w:t>
      </w:r>
    </w:p>
    <w:p w:rsidR="00A521A8" w:rsidRPr="00A521A8" w:rsidRDefault="00A521A8" w:rsidP="00A521A8">
      <w:pPr>
        <w:widowControl/>
        <w:spacing w:line="360" w:lineRule="auto"/>
        <w:ind w:firstLineChars="200" w:firstLine="480"/>
        <w:jc w:val="left"/>
        <w:rPr>
          <w:rFonts w:ascii="宋体" w:eastAsia="宋体" w:hAnsi="宋体" w:cs="宋体" w:hint="eastAsia"/>
          <w:color w:val="000000" w:themeColor="text1"/>
          <w:kern w:val="0"/>
          <w:sz w:val="24"/>
          <w:szCs w:val="24"/>
        </w:rPr>
      </w:pPr>
      <w:r w:rsidRPr="00A521A8">
        <w:rPr>
          <w:rFonts w:ascii="宋体" w:eastAsia="宋体" w:hAnsi="宋体" w:cs="宋体" w:hint="eastAsia"/>
          <w:color w:val="000000" w:themeColor="text1"/>
          <w:kern w:val="0"/>
          <w:sz w:val="24"/>
          <w:szCs w:val="24"/>
        </w:rPr>
        <w:t>12月19—20日，世界显示产业创新发展大会在四川省成都市举行。在大会开幕式上，中国电子信息产业发展研究院院长张立发布《中国新型显示产业高质量发展指数（2024）》。</w:t>
      </w:r>
    </w:p>
    <w:p w:rsidR="00A521A8" w:rsidRPr="00A521A8" w:rsidRDefault="00A521A8" w:rsidP="00A521A8">
      <w:pPr>
        <w:widowControl/>
        <w:spacing w:line="360" w:lineRule="auto"/>
        <w:jc w:val="center"/>
        <w:rPr>
          <w:rFonts w:ascii="宋体" w:eastAsia="宋体" w:hAnsi="宋体" w:cs="宋体" w:hint="eastAsia"/>
          <w:color w:val="000000" w:themeColor="text1"/>
          <w:kern w:val="0"/>
          <w:sz w:val="24"/>
          <w:szCs w:val="24"/>
        </w:rPr>
      </w:pPr>
      <w:r w:rsidRPr="00A521A8">
        <w:rPr>
          <w:rFonts w:ascii="宋体" w:eastAsia="宋体" w:hAnsi="宋体" w:cs="宋体"/>
          <w:noProof/>
          <w:color w:val="000000" w:themeColor="text1"/>
          <w:kern w:val="0"/>
          <w:sz w:val="24"/>
          <w:szCs w:val="24"/>
        </w:rPr>
        <w:drawing>
          <wp:inline distT="0" distB="0" distL="0" distR="0" wp14:anchorId="649FFBF5" wp14:editId="6891DE7D">
            <wp:extent cx="4780391" cy="3181350"/>
            <wp:effectExtent l="0" t="0" r="1270" b="0"/>
            <wp:docPr id="1" name="图片 1" descr="HGH_8206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GH_8206_副本.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87141" cy="3185842"/>
                    </a:xfrm>
                    <a:prstGeom prst="rect">
                      <a:avLst/>
                    </a:prstGeom>
                    <a:noFill/>
                    <a:ln>
                      <a:noFill/>
                    </a:ln>
                  </pic:spPr>
                </pic:pic>
              </a:graphicData>
            </a:graphic>
          </wp:inline>
        </w:drawing>
      </w:r>
    </w:p>
    <w:p w:rsidR="00A521A8" w:rsidRPr="00A521A8" w:rsidRDefault="00A521A8" w:rsidP="00A521A8">
      <w:pPr>
        <w:widowControl/>
        <w:spacing w:line="360" w:lineRule="auto"/>
        <w:ind w:firstLineChars="200" w:firstLine="480"/>
        <w:jc w:val="left"/>
        <w:rPr>
          <w:rFonts w:ascii="宋体" w:eastAsia="宋体" w:hAnsi="宋体" w:cs="宋体" w:hint="eastAsia"/>
          <w:color w:val="000000" w:themeColor="text1"/>
          <w:kern w:val="0"/>
          <w:sz w:val="24"/>
          <w:szCs w:val="24"/>
        </w:rPr>
      </w:pPr>
      <w:r w:rsidRPr="00A521A8">
        <w:rPr>
          <w:rFonts w:ascii="宋体" w:eastAsia="宋体" w:hAnsi="宋体" w:cs="宋体" w:hint="eastAsia"/>
          <w:color w:val="000000" w:themeColor="text1"/>
          <w:kern w:val="0"/>
          <w:sz w:val="24"/>
          <w:szCs w:val="24"/>
        </w:rPr>
        <w:t>张立表示，当前显示产业正在迎来创新拐点，技术突破和产品创新推动了产业市场空间不断增长。可折叠屏、柔性屏等创新产品的出现，打破了传统显示屏幕的形态限制，为显示产业带来新的发展机遇。我国作为全球最大的显示面板生产制造基地和研发应用地区，竞争实力稳步增强，正在迎来高质量发展的新时期。产业规模持续增长，以出货面积计算，液晶产品全球占比达到75%，OLED产品全球占比超过50%；多条8.6代高世代OLED</w:t>
      </w:r>
      <w:proofErr w:type="gramStart"/>
      <w:r w:rsidRPr="00A521A8">
        <w:rPr>
          <w:rFonts w:ascii="宋体" w:eastAsia="宋体" w:hAnsi="宋体" w:cs="宋体" w:hint="eastAsia"/>
          <w:color w:val="000000" w:themeColor="text1"/>
          <w:kern w:val="0"/>
          <w:sz w:val="24"/>
          <w:szCs w:val="24"/>
        </w:rPr>
        <w:t>产线开工</w:t>
      </w:r>
      <w:proofErr w:type="gramEnd"/>
      <w:r w:rsidRPr="00A521A8">
        <w:rPr>
          <w:rFonts w:ascii="宋体" w:eastAsia="宋体" w:hAnsi="宋体" w:cs="宋体" w:hint="eastAsia"/>
          <w:color w:val="000000" w:themeColor="text1"/>
          <w:kern w:val="0"/>
          <w:sz w:val="24"/>
          <w:szCs w:val="24"/>
        </w:rPr>
        <w:t>建设。</w:t>
      </w:r>
    </w:p>
    <w:p w:rsidR="00A521A8" w:rsidRPr="00A521A8" w:rsidRDefault="00A521A8" w:rsidP="00A521A8">
      <w:pPr>
        <w:widowControl/>
        <w:spacing w:line="360" w:lineRule="auto"/>
        <w:ind w:firstLineChars="200" w:firstLine="480"/>
        <w:jc w:val="left"/>
        <w:rPr>
          <w:rFonts w:ascii="宋体" w:eastAsia="宋体" w:hAnsi="宋体" w:cs="宋体" w:hint="eastAsia"/>
          <w:color w:val="000000" w:themeColor="text1"/>
          <w:kern w:val="0"/>
          <w:sz w:val="24"/>
          <w:szCs w:val="24"/>
        </w:rPr>
      </w:pPr>
      <w:r w:rsidRPr="00A521A8">
        <w:rPr>
          <w:rFonts w:ascii="宋体" w:eastAsia="宋体" w:hAnsi="宋体" w:cs="宋体" w:hint="eastAsia"/>
          <w:color w:val="000000" w:themeColor="text1"/>
          <w:kern w:val="0"/>
          <w:sz w:val="24"/>
          <w:szCs w:val="24"/>
        </w:rPr>
        <w:t>2023年，为科学评价中国显示产业高质量发展水平，中国电子信息产业发展研究院（以下简称“赛迪研究院”）在成都首次发布《中国新型显示产业高质量发展指数》。2024年，在综合考虑产业发展新情况、技术新进展、市场新应</w:t>
      </w:r>
      <w:r w:rsidRPr="00A521A8">
        <w:rPr>
          <w:rFonts w:ascii="宋体" w:eastAsia="宋体" w:hAnsi="宋体" w:cs="宋体" w:hint="eastAsia"/>
          <w:color w:val="000000" w:themeColor="text1"/>
          <w:kern w:val="0"/>
          <w:sz w:val="24"/>
          <w:szCs w:val="24"/>
        </w:rPr>
        <w:lastRenderedPageBreak/>
        <w:t>用后，赛</w:t>
      </w:r>
      <w:proofErr w:type="gramStart"/>
      <w:r w:rsidRPr="00A521A8">
        <w:rPr>
          <w:rFonts w:ascii="宋体" w:eastAsia="宋体" w:hAnsi="宋体" w:cs="宋体" w:hint="eastAsia"/>
          <w:color w:val="000000" w:themeColor="text1"/>
          <w:kern w:val="0"/>
          <w:sz w:val="24"/>
          <w:szCs w:val="24"/>
        </w:rPr>
        <w:t>迪</w:t>
      </w:r>
      <w:proofErr w:type="gramEnd"/>
      <w:r w:rsidRPr="00A521A8">
        <w:rPr>
          <w:rFonts w:ascii="宋体" w:eastAsia="宋体" w:hAnsi="宋体" w:cs="宋体" w:hint="eastAsia"/>
          <w:color w:val="000000" w:themeColor="text1"/>
          <w:kern w:val="0"/>
          <w:sz w:val="24"/>
          <w:szCs w:val="24"/>
        </w:rPr>
        <w:t>研究院对指数进行更新调整，推出《中国新型显示产业高质量发展指数（2024）》，并发布我国显示产业高质量发展十大城市和四大集聚区。十大城市包括合肥、深圳、成都、广州、武汉、北京、厦门、苏州、重庆、南京，四大集聚区包括京津冀、长三角、珠三角以及中西部地区。</w:t>
      </w:r>
    </w:p>
    <w:p w:rsidR="00A521A8" w:rsidRPr="00A521A8" w:rsidRDefault="00A521A8" w:rsidP="00A521A8">
      <w:pPr>
        <w:widowControl/>
        <w:spacing w:line="360" w:lineRule="auto"/>
        <w:ind w:firstLineChars="200" w:firstLine="480"/>
        <w:jc w:val="left"/>
        <w:rPr>
          <w:rFonts w:ascii="宋体" w:eastAsia="宋体" w:hAnsi="宋体" w:cs="宋体" w:hint="eastAsia"/>
          <w:color w:val="000000" w:themeColor="text1"/>
          <w:kern w:val="0"/>
          <w:sz w:val="24"/>
          <w:szCs w:val="24"/>
        </w:rPr>
      </w:pPr>
      <w:r w:rsidRPr="00A521A8">
        <w:rPr>
          <w:rFonts w:ascii="宋体" w:eastAsia="宋体" w:hAnsi="宋体" w:cs="宋体" w:hint="eastAsia"/>
          <w:color w:val="000000" w:themeColor="text1"/>
          <w:kern w:val="0"/>
          <w:sz w:val="24"/>
          <w:szCs w:val="24"/>
        </w:rPr>
        <w:t xml:space="preserve">据悉，《中国新型显示产业高质量发展指数（2024）》基于显示产业发展特点，选取5大环节、6大技术，从产业基础、成长环境、投资动力、创新活力、发展潜力等角度构建显示产业高质量发展指数评价体系，共设5个一级指标，21 </w:t>
      </w:r>
      <w:proofErr w:type="gramStart"/>
      <w:r w:rsidRPr="00A521A8">
        <w:rPr>
          <w:rFonts w:ascii="宋体" w:eastAsia="宋体" w:hAnsi="宋体" w:cs="宋体" w:hint="eastAsia"/>
          <w:color w:val="000000" w:themeColor="text1"/>
          <w:kern w:val="0"/>
          <w:sz w:val="24"/>
          <w:szCs w:val="24"/>
        </w:rPr>
        <w:t>个</w:t>
      </w:r>
      <w:proofErr w:type="gramEnd"/>
      <w:r w:rsidRPr="00A521A8">
        <w:rPr>
          <w:rFonts w:ascii="宋体" w:eastAsia="宋体" w:hAnsi="宋体" w:cs="宋体" w:hint="eastAsia"/>
          <w:color w:val="000000" w:themeColor="text1"/>
          <w:kern w:val="0"/>
          <w:sz w:val="24"/>
          <w:szCs w:val="24"/>
        </w:rPr>
        <w:t>二级指标，对多渠道数据进行动态收集整合，根据指标数据类型的不同以及指标体系的差异，选择不同的处理方式和指标基值。</w:t>
      </w:r>
    </w:p>
    <w:p w:rsidR="00A521A8" w:rsidRPr="00A521A8" w:rsidRDefault="00A521A8" w:rsidP="00A521A8">
      <w:pPr>
        <w:widowControl/>
        <w:spacing w:line="360" w:lineRule="auto"/>
        <w:ind w:firstLineChars="200" w:firstLine="480"/>
        <w:jc w:val="left"/>
        <w:rPr>
          <w:rFonts w:ascii="宋体" w:eastAsia="宋体" w:hAnsi="宋体" w:cs="宋体" w:hint="eastAsia"/>
          <w:color w:val="000000" w:themeColor="text1"/>
          <w:kern w:val="0"/>
          <w:sz w:val="24"/>
          <w:szCs w:val="24"/>
        </w:rPr>
      </w:pPr>
      <w:r w:rsidRPr="00A521A8">
        <w:rPr>
          <w:rFonts w:ascii="宋体" w:eastAsia="宋体" w:hAnsi="宋体" w:cs="宋体" w:hint="eastAsia"/>
          <w:color w:val="000000" w:themeColor="text1"/>
          <w:kern w:val="0"/>
          <w:sz w:val="24"/>
          <w:szCs w:val="24"/>
        </w:rPr>
        <w:t>从指数的整体评估来看，合肥、深圳、成都依托产业链布局、技术创新和产能规模等优势位居显示产业高质量发展十大城市前三位。其中，随着柔性屏应用领域的扩大和折叠手机的快速普及，成都的产业竞争实力稳步提升，发展动能不断增强，成为我国显示产业高质量发展的重要力量。</w:t>
      </w:r>
    </w:p>
    <w:p w:rsidR="00A521A8" w:rsidRPr="00A521A8" w:rsidRDefault="00A521A8" w:rsidP="00A521A8">
      <w:pPr>
        <w:widowControl/>
        <w:spacing w:line="360" w:lineRule="auto"/>
        <w:ind w:firstLineChars="200" w:firstLine="480"/>
        <w:jc w:val="left"/>
        <w:rPr>
          <w:rFonts w:ascii="宋体" w:eastAsia="宋体" w:hAnsi="宋体" w:cs="宋体" w:hint="eastAsia"/>
          <w:color w:val="000000" w:themeColor="text1"/>
          <w:kern w:val="0"/>
          <w:sz w:val="24"/>
          <w:szCs w:val="24"/>
        </w:rPr>
      </w:pPr>
      <w:r w:rsidRPr="00A521A8">
        <w:rPr>
          <w:rFonts w:ascii="宋体" w:eastAsia="宋体" w:hAnsi="宋体" w:cs="宋体" w:hint="eastAsia"/>
          <w:color w:val="000000" w:themeColor="text1"/>
          <w:kern w:val="0"/>
          <w:sz w:val="24"/>
          <w:szCs w:val="24"/>
        </w:rPr>
        <w:t>产业基础、成长环境、投资动力、创新活力和发展潜力是指数的五个一级指标。</w:t>
      </w:r>
    </w:p>
    <w:p w:rsidR="00A521A8" w:rsidRPr="00A521A8" w:rsidRDefault="00A521A8" w:rsidP="00A521A8">
      <w:pPr>
        <w:widowControl/>
        <w:spacing w:line="360" w:lineRule="auto"/>
        <w:ind w:firstLineChars="200" w:firstLine="480"/>
        <w:jc w:val="left"/>
        <w:rPr>
          <w:rFonts w:ascii="宋体" w:eastAsia="宋体" w:hAnsi="宋体" w:cs="宋体" w:hint="eastAsia"/>
          <w:color w:val="000000" w:themeColor="text1"/>
          <w:kern w:val="0"/>
          <w:sz w:val="24"/>
          <w:szCs w:val="24"/>
        </w:rPr>
      </w:pPr>
      <w:r w:rsidRPr="00A521A8">
        <w:rPr>
          <w:rFonts w:ascii="宋体" w:eastAsia="宋体" w:hAnsi="宋体" w:cs="宋体" w:hint="eastAsia"/>
          <w:color w:val="000000" w:themeColor="text1"/>
          <w:kern w:val="0"/>
          <w:sz w:val="24"/>
          <w:szCs w:val="24"/>
        </w:rPr>
        <w:t>从产业基础看，深圳、北京和成都三个城市基本要素和发展条件最为齐全，为当地显示产业的快速发展奠定了坚实根基。</w:t>
      </w:r>
    </w:p>
    <w:p w:rsidR="00A521A8" w:rsidRPr="00A521A8" w:rsidRDefault="00A521A8" w:rsidP="00A521A8">
      <w:pPr>
        <w:widowControl/>
        <w:spacing w:line="360" w:lineRule="auto"/>
        <w:ind w:firstLineChars="200" w:firstLine="480"/>
        <w:jc w:val="left"/>
        <w:rPr>
          <w:rFonts w:ascii="宋体" w:eastAsia="宋体" w:hAnsi="宋体" w:cs="宋体" w:hint="eastAsia"/>
          <w:color w:val="000000" w:themeColor="text1"/>
          <w:kern w:val="0"/>
          <w:sz w:val="24"/>
          <w:szCs w:val="24"/>
        </w:rPr>
      </w:pPr>
      <w:r w:rsidRPr="00A521A8">
        <w:rPr>
          <w:rFonts w:ascii="宋体" w:eastAsia="宋体" w:hAnsi="宋体" w:cs="宋体" w:hint="eastAsia"/>
          <w:color w:val="000000" w:themeColor="text1"/>
          <w:kern w:val="0"/>
          <w:sz w:val="24"/>
          <w:szCs w:val="24"/>
        </w:rPr>
        <w:t>从成长环境看，成都、深圳、合肥和武汉等城市在政策支持力度、城市文化、基础设施、人才供应等方面优势明显，推动了上下游企业的孵化和发展，提高了城市产业竞争力。</w:t>
      </w:r>
    </w:p>
    <w:p w:rsidR="00A521A8" w:rsidRPr="00A521A8" w:rsidRDefault="00A521A8" w:rsidP="00A521A8">
      <w:pPr>
        <w:widowControl/>
        <w:spacing w:line="360" w:lineRule="auto"/>
        <w:ind w:firstLineChars="200" w:firstLine="480"/>
        <w:jc w:val="left"/>
        <w:rPr>
          <w:rFonts w:ascii="宋体" w:eastAsia="宋体" w:hAnsi="宋体" w:cs="宋体" w:hint="eastAsia"/>
          <w:color w:val="000000" w:themeColor="text1"/>
          <w:kern w:val="0"/>
          <w:sz w:val="24"/>
          <w:szCs w:val="24"/>
        </w:rPr>
      </w:pPr>
      <w:r w:rsidRPr="00A521A8">
        <w:rPr>
          <w:rFonts w:ascii="宋体" w:eastAsia="宋体" w:hAnsi="宋体" w:cs="宋体" w:hint="eastAsia"/>
          <w:color w:val="000000" w:themeColor="text1"/>
          <w:kern w:val="0"/>
          <w:sz w:val="24"/>
          <w:szCs w:val="24"/>
        </w:rPr>
        <w:t>从投资动力看，“基金加园区”成为显示产业发展的重要模式。其中成都和合肥凭借产业基础和创新活力，精心设计和精准投入，为企业重大项目落地营造了良好的投融资氛围。</w:t>
      </w:r>
    </w:p>
    <w:p w:rsidR="00A521A8" w:rsidRPr="00A521A8" w:rsidRDefault="00A521A8" w:rsidP="00A521A8">
      <w:pPr>
        <w:widowControl/>
        <w:spacing w:line="360" w:lineRule="auto"/>
        <w:ind w:firstLineChars="200" w:firstLine="480"/>
        <w:jc w:val="left"/>
        <w:rPr>
          <w:rFonts w:ascii="宋体" w:eastAsia="宋体" w:hAnsi="宋体" w:cs="宋体" w:hint="eastAsia"/>
          <w:color w:val="000000" w:themeColor="text1"/>
          <w:kern w:val="0"/>
          <w:sz w:val="24"/>
          <w:szCs w:val="24"/>
        </w:rPr>
      </w:pPr>
      <w:r w:rsidRPr="00A521A8">
        <w:rPr>
          <w:rFonts w:ascii="宋体" w:eastAsia="宋体" w:hAnsi="宋体" w:cs="宋体" w:hint="eastAsia"/>
          <w:color w:val="000000" w:themeColor="text1"/>
          <w:kern w:val="0"/>
          <w:sz w:val="24"/>
          <w:szCs w:val="24"/>
        </w:rPr>
        <w:t>从创新活力看，技术创新、产品创新、模式创新和协同创新是显示产业发展的核心驱动力。成都、深圳、北京和合肥在研发资金投入、创新产出、新产品新技术首发、产学研合作等方面表现突出，不仅带动了当地产业发展，同时也对我国显示产业的高质量发展做出重要贡献。</w:t>
      </w:r>
    </w:p>
    <w:p w:rsidR="00A521A8" w:rsidRPr="00A521A8" w:rsidRDefault="00A521A8" w:rsidP="00A521A8">
      <w:pPr>
        <w:widowControl/>
        <w:spacing w:line="360" w:lineRule="auto"/>
        <w:ind w:firstLineChars="200" w:firstLine="480"/>
        <w:jc w:val="left"/>
        <w:rPr>
          <w:rFonts w:ascii="宋体" w:eastAsia="宋体" w:hAnsi="宋体" w:cs="宋体" w:hint="eastAsia"/>
          <w:color w:val="000000" w:themeColor="text1"/>
          <w:kern w:val="0"/>
          <w:sz w:val="24"/>
          <w:szCs w:val="24"/>
        </w:rPr>
      </w:pPr>
      <w:r w:rsidRPr="00A521A8">
        <w:rPr>
          <w:rFonts w:ascii="宋体" w:eastAsia="宋体" w:hAnsi="宋体" w:cs="宋体" w:hint="eastAsia"/>
          <w:color w:val="000000" w:themeColor="text1"/>
          <w:kern w:val="0"/>
          <w:sz w:val="24"/>
          <w:szCs w:val="24"/>
        </w:rPr>
        <w:t>从发展潜力看，除了显示产业高质量发展十大城市外，我国还有13个城市拥有显示面</w:t>
      </w:r>
      <w:proofErr w:type="gramStart"/>
      <w:r w:rsidRPr="00A521A8">
        <w:rPr>
          <w:rFonts w:ascii="宋体" w:eastAsia="宋体" w:hAnsi="宋体" w:cs="宋体" w:hint="eastAsia"/>
          <w:color w:val="000000" w:themeColor="text1"/>
          <w:kern w:val="0"/>
          <w:sz w:val="24"/>
          <w:szCs w:val="24"/>
        </w:rPr>
        <w:t>板产线</w:t>
      </w:r>
      <w:proofErr w:type="gramEnd"/>
      <w:r w:rsidRPr="00A521A8">
        <w:rPr>
          <w:rFonts w:ascii="宋体" w:eastAsia="宋体" w:hAnsi="宋体" w:cs="宋体" w:hint="eastAsia"/>
          <w:color w:val="000000" w:themeColor="text1"/>
          <w:kern w:val="0"/>
          <w:sz w:val="24"/>
          <w:szCs w:val="24"/>
        </w:rPr>
        <w:t>，这些城市与十大城市可实现要素共享、优势互补，有望形成地区间协同合作的良好发展局面。</w:t>
      </w:r>
    </w:p>
    <w:p w:rsidR="00A521A8" w:rsidRPr="00A521A8" w:rsidRDefault="00A521A8" w:rsidP="00A521A8">
      <w:pPr>
        <w:widowControl/>
        <w:spacing w:line="360" w:lineRule="auto"/>
        <w:ind w:firstLineChars="200" w:firstLine="480"/>
        <w:jc w:val="left"/>
        <w:rPr>
          <w:rFonts w:ascii="宋体" w:eastAsia="宋体" w:hAnsi="宋体" w:cs="宋体" w:hint="eastAsia"/>
          <w:color w:val="000000" w:themeColor="text1"/>
          <w:kern w:val="0"/>
          <w:sz w:val="24"/>
          <w:szCs w:val="24"/>
        </w:rPr>
      </w:pPr>
      <w:r w:rsidRPr="00A521A8">
        <w:rPr>
          <w:rFonts w:ascii="宋体" w:eastAsia="宋体" w:hAnsi="宋体" w:cs="宋体" w:hint="eastAsia"/>
          <w:color w:val="000000" w:themeColor="text1"/>
          <w:kern w:val="0"/>
          <w:sz w:val="24"/>
          <w:szCs w:val="24"/>
        </w:rPr>
        <w:t>张立同时指出，我国显示产业在高质量发展过程中，也面临诸多挑战。一是创新发展层面，创新实力上仍有欠缺，亟待加强；二是企业经营层面，传统应用增长乏力，新兴市场有待培育，企业效益不及预期；三是生态建设层面，产业配套体系尚不完善，难以满足高质量发展需要。</w:t>
      </w:r>
    </w:p>
    <w:p w:rsidR="00A521A8" w:rsidRPr="00A521A8" w:rsidRDefault="00A521A8" w:rsidP="00A521A8">
      <w:pPr>
        <w:widowControl/>
        <w:spacing w:line="360" w:lineRule="auto"/>
        <w:ind w:firstLineChars="200" w:firstLine="480"/>
        <w:jc w:val="left"/>
        <w:rPr>
          <w:rFonts w:ascii="宋体" w:eastAsia="宋体" w:hAnsi="宋体" w:cs="宋体" w:hint="eastAsia"/>
          <w:color w:val="000000" w:themeColor="text1"/>
          <w:kern w:val="0"/>
          <w:sz w:val="24"/>
          <w:szCs w:val="24"/>
        </w:rPr>
      </w:pPr>
      <w:r w:rsidRPr="00A521A8">
        <w:rPr>
          <w:rFonts w:ascii="宋体" w:eastAsia="宋体" w:hAnsi="宋体" w:cs="宋体" w:hint="eastAsia"/>
          <w:color w:val="000000" w:themeColor="text1"/>
          <w:kern w:val="0"/>
          <w:sz w:val="24"/>
          <w:szCs w:val="24"/>
        </w:rPr>
        <w:t>结合中国新型显示产业高质量发展指数，张立对我国显示产业未来发展提出四点思考与建议：一是加强顶层设计，统筹发展。发挥产业政策引领作用，有序推进产业升级，为显示产业高质量发展筑牢坚实根基。二是加快产业生态建设，关注产业</w:t>
      </w:r>
      <w:proofErr w:type="gramStart"/>
      <w:r w:rsidRPr="00A521A8">
        <w:rPr>
          <w:rFonts w:ascii="宋体" w:eastAsia="宋体" w:hAnsi="宋体" w:cs="宋体" w:hint="eastAsia"/>
          <w:color w:val="000000" w:themeColor="text1"/>
          <w:kern w:val="0"/>
          <w:sz w:val="24"/>
          <w:szCs w:val="24"/>
        </w:rPr>
        <w:t>链供应</w:t>
      </w:r>
      <w:proofErr w:type="gramEnd"/>
      <w:r w:rsidRPr="00A521A8">
        <w:rPr>
          <w:rFonts w:ascii="宋体" w:eastAsia="宋体" w:hAnsi="宋体" w:cs="宋体" w:hint="eastAsia"/>
          <w:color w:val="000000" w:themeColor="text1"/>
          <w:kern w:val="0"/>
          <w:sz w:val="24"/>
          <w:szCs w:val="24"/>
        </w:rPr>
        <w:t>链均衡发展，加快构建完整且富有韧性的产业生态体系。三是以数字经济为着力点，关注绿色低碳，加快人工智能在显示产业的创新应用，挖掘新需求，拓展新应用。四是坚持高水平对外开放合作，促进与全球产业链的深度融合。</w:t>
      </w:r>
    </w:p>
    <w:p w:rsidR="006D1DF7" w:rsidRPr="00A521A8" w:rsidRDefault="006D1DF7" w:rsidP="00A521A8">
      <w:pPr>
        <w:spacing w:line="360" w:lineRule="auto"/>
        <w:ind w:firstLineChars="200" w:firstLine="480"/>
        <w:rPr>
          <w:rFonts w:ascii="宋体" w:eastAsia="宋体" w:hAnsi="宋体"/>
          <w:color w:val="000000" w:themeColor="text1"/>
          <w:sz w:val="24"/>
          <w:szCs w:val="24"/>
        </w:rPr>
      </w:pPr>
    </w:p>
    <w:sectPr w:rsidR="006D1DF7" w:rsidRPr="00A521A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445"/>
    <w:rsid w:val="006D1DF7"/>
    <w:rsid w:val="007B0445"/>
    <w:rsid w:val="00A521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A521A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521A8"/>
    <w:rPr>
      <w:rFonts w:ascii="宋体" w:eastAsia="宋体" w:hAnsi="宋体" w:cs="宋体"/>
      <w:b/>
      <w:bCs/>
      <w:kern w:val="36"/>
      <w:sz w:val="48"/>
      <w:szCs w:val="48"/>
    </w:rPr>
  </w:style>
  <w:style w:type="character" w:styleId="a3">
    <w:name w:val="Hyperlink"/>
    <w:basedOn w:val="a0"/>
    <w:uiPriority w:val="99"/>
    <w:semiHidden/>
    <w:unhideWhenUsed/>
    <w:rsid w:val="00A521A8"/>
    <w:rPr>
      <w:color w:val="0000FF"/>
      <w:u w:val="single"/>
    </w:rPr>
  </w:style>
  <w:style w:type="paragraph" w:styleId="a4">
    <w:name w:val="Normal (Web)"/>
    <w:basedOn w:val="a"/>
    <w:uiPriority w:val="99"/>
    <w:semiHidden/>
    <w:unhideWhenUsed/>
    <w:rsid w:val="00A521A8"/>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A521A8"/>
    <w:rPr>
      <w:sz w:val="18"/>
      <w:szCs w:val="18"/>
    </w:rPr>
  </w:style>
  <w:style w:type="character" w:customStyle="1" w:styleId="Char">
    <w:name w:val="批注框文本 Char"/>
    <w:basedOn w:val="a0"/>
    <w:link w:val="a5"/>
    <w:uiPriority w:val="99"/>
    <w:semiHidden/>
    <w:rsid w:val="00A521A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A521A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521A8"/>
    <w:rPr>
      <w:rFonts w:ascii="宋体" w:eastAsia="宋体" w:hAnsi="宋体" w:cs="宋体"/>
      <w:b/>
      <w:bCs/>
      <w:kern w:val="36"/>
      <w:sz w:val="48"/>
      <w:szCs w:val="48"/>
    </w:rPr>
  </w:style>
  <w:style w:type="character" w:styleId="a3">
    <w:name w:val="Hyperlink"/>
    <w:basedOn w:val="a0"/>
    <w:uiPriority w:val="99"/>
    <w:semiHidden/>
    <w:unhideWhenUsed/>
    <w:rsid w:val="00A521A8"/>
    <w:rPr>
      <w:color w:val="0000FF"/>
      <w:u w:val="single"/>
    </w:rPr>
  </w:style>
  <w:style w:type="paragraph" w:styleId="a4">
    <w:name w:val="Normal (Web)"/>
    <w:basedOn w:val="a"/>
    <w:uiPriority w:val="99"/>
    <w:semiHidden/>
    <w:unhideWhenUsed/>
    <w:rsid w:val="00A521A8"/>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A521A8"/>
    <w:rPr>
      <w:sz w:val="18"/>
      <w:szCs w:val="18"/>
    </w:rPr>
  </w:style>
  <w:style w:type="character" w:customStyle="1" w:styleId="Char">
    <w:name w:val="批注框文本 Char"/>
    <w:basedOn w:val="a0"/>
    <w:link w:val="a5"/>
    <w:uiPriority w:val="99"/>
    <w:semiHidden/>
    <w:rsid w:val="00A521A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3671876">
      <w:bodyDiv w:val="1"/>
      <w:marLeft w:val="0"/>
      <w:marRight w:val="0"/>
      <w:marTop w:val="0"/>
      <w:marBottom w:val="0"/>
      <w:divBdr>
        <w:top w:val="none" w:sz="0" w:space="0" w:color="auto"/>
        <w:left w:val="none" w:sz="0" w:space="0" w:color="auto"/>
        <w:bottom w:val="none" w:sz="0" w:space="0" w:color="auto"/>
        <w:right w:val="none" w:sz="0" w:space="0" w:color="auto"/>
      </w:divBdr>
      <w:divsChild>
        <w:div w:id="1347751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256</Words>
  <Characters>1462</Characters>
  <Application>Microsoft Office Word</Application>
  <DocSecurity>0</DocSecurity>
  <Lines>12</Lines>
  <Paragraphs>3</Paragraphs>
  <ScaleCrop>false</ScaleCrop>
  <Company>Organization</Company>
  <LinksUpToDate>false</LinksUpToDate>
  <CharactersWithSpaces>1715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2024-12-20T01:11:00Z</dcterms:created>
  <dcterms:modified xsi:type="dcterms:W3CDTF">2024-12-20T01:14:00Z</dcterms:modified>
</cp:coreProperties>
</file>