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在转型升级中壮筋骨 推动中小企业高质量发展 </w:t>
      </w:r>
    </w:p>
    <w:p>
      <w:pPr>
        <w:pStyle w:val="style0"/>
        <w:jc w:val="center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来源： 中国电子报、电子信息产业网</w:t>
      </w: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中小企业是市场的主体，是保就业的主力军，是我国经济韧性的最重要保障。中小企业贡献了50%以上的税收、60%以上的国内生产总值、70%以上的技术创新、80%以上的城镇劳动就业、90%以上的企业数量。中小企业好，中国经济才会好。我国经济发展到当前这个阶段，促进中小企业平稳健康发展，关乎国民经济全局，意义重大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过去一年，我国中小企业经受住了百年变局和世纪疫情等种种困难和挑战。工信部认真贯彻落实习近平总书记重要指示批示精神和党中央、国务院决策部署，出台了一系列纾困解难的政策措施，助力中小企业平稳健康发展。减税费方面，2022年，小微企业累计新增减税、降费以及退税、缓税、缓费超过1.35万亿元。增融资方面，2022年，全国普惠型小微企业贷款余额23.6万亿元，同比增长23.6%。促创新方面，2022年，新增专精特新“小巨人”企业4328家，专精特新中小企业累计超过7万家。强服务方面，组织各类优质服务资源为企业送政策、送管理、送技术，服务企业超过4600多万家（次）。在各项惠企政策的支持下，广大中小企业自强不息、迎难而上，2022年1—11月，规上工业中小企业营业收入同比增长6%，展现出强大的韧性和活力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2023年，中小企业平稳发展的困难和挑战依然较大。纵向来看，我国中小企业的发展成绩斐然，尤其在发展实力、发展环境、创业创新能力等方面，均可圈可点；横向来看，世界经济深度调整、外部环境的不稳定不确定因素增加。与此同时，我国经济发展进入新常态，这给中小企业发展带来多重考验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近日，工信部党组书记、部长金壮龙在《求是》杂志发表署名文章指出，要“坚持管理和服务并重，坚持发展和帮扶并举，加快完善中小企业工作体系、政策法规体系、优质高效服务体系，培育更多专精特新中小企业，促进中小企业高质量发展”。展望未来，我国内需市场广大，要素保障充足，产业配套体系完善，新型城镇化和乡村振兴还蕴藏着巨大的发展空间，中小企业发展前景更加广阔。下一步，我们要坚持“两个毫不动摇”，最大程度凝聚共识、整合资源、促进协同、形成合力，守护中小企业郁郁青山，激发中国经济勃勃生机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推动中小企业高质量发展，要做好帮扶也要抓好发展。工信部对4.3万家中小企业调查显示，2022年近四成企业有新增贷款，超六成企业有研发投入，也有超六成企业有固定资产投资，这充分说明，企业发展信心在不断增强。但我们也应看到，中小企业凭个体力量难以应对长周期的挑战，如果要让他们有更多精力和底气专注于创新，实现高质量发展，离不开各部门创造良好的营商环境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我们要着眼长远，结合促进中小企业发展的新形势、新特点、新要求，会同有关部门进一步健全政策支持体系。要提高财政支持的精准度和有效性，支持中小企业公共服务示范平台强化服务水平。要建立高效服务体系，建立健全横向集聚政府公共服务、市场化服务、社会化公益服务各类服务资源的生态服务体系。要严厉打击各类不正当竞争行为，加强对中小企业合法经营活动的保护。要引导金融机构加大对小微企业信贷支持力度，促进形成敢贷、愿贷、能贷、会贷的长效机制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推动中小企业稳增长强能力，既要做好帮扶，也要抓好发展。对此，中央财办经济一局副局长伞锋提出几点政策建议，一是要用全局观考虑中小企业问题，推动现有政策落地。二是对不同规模和行业的中小企业有针对性精准指导。三是发挥头部企业和平台企业的带领作用。四是培育金融环境和信用环境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推动中小企业高质量发展，要坚定专精特新发展之路。2022年，工信部公布了第四批专精特新“小巨人”企业培育名单，这些企业平均研发经费占企业营收比重10.4%，3000多家企业从事细分领域时间在10年以上，企业户均年平均营业收入增长都在20%以上。“中小企业能办大事”，小配件蕴含高技术，小规模支撑大配套，小产业干成大事业。可以说，专精特新中小企业是强链补链固链的生力军，是经济活力的重要载体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工信部提出，力争到2023年年底，全国“专精特新”中小企业超过8万家、“小巨人”企业超过1万家。为此，我们要着眼于不同领域及产业的不同生命周期，继续落实好《为“专精特新”中小企业办实事清单》，为专精特新中小企业营造更好更优的发展环境，进一步在资金、人才、技术、孵化平台搭建等方面，不断完善培育服务举措，坚定支持中小企业走专精特新发展之路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中国社科院工业经济所教授、中小企业研究中心研究员高中华认为，我国目前已经形成上下联动、部门协同的多层次衔接的专精特新支持体系。他建议，要基于现在的小巨人产业图谱，强化“一纵”，引导产业链核心企业对专精特新企业开放市场，为中小企业提供资源和能力指导；重视“一横”，相关部门构建平台带动型的产业链，发挥共赢思维的作用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推动中小企业高质量发展，要全面加速数字化转型。在推动数字经济发展的力量中，中小企业是主力军，是数字化转型的主战场。同时，中小企业也是企业数字化转型的难点。用数字化助力中小企业“强筋壮骨”，是推动中国经济高质量发展的重要通路之一。总体而言，2020年开始实施中小企业数字化赋能专项行动以来，我国中小企业数字化转型成效显著，但仍然存在“不会转、不能转、不敢转”的共性问题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这就要求我们从供给和应用双向发力，全面推进中小企业数字化转型加速、扩面、提质、增效。具体而言，就是着力构建“三大体系”。一是着力构建中小企业数字化政策体系，探索形成一批适合中小企业数字化转型的小型化、轻量化、快部署、有精准解决实际问题的解决方案。二是着力构建中小企业数字化支持体系，为中小企业数字化转型提供工具支持。三是着力构建中小企业数字化赋能体系，遴选和推广一批“用得起、用得上、用得好、能用的出效益”的优质数字化服务产品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围绕如何更好地助力中小企业数字化转型，联想集团董事长兼CEO杨元庆建议，政府和相关协会共同建立“中小企业数字化发展指数”，为评估中小企业发展水平提供科学依据；构建中小企业数字化转型加速平台，切实解决中小企业数字化转型“不会转、不敢转”的问题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推动中小企业高质量发展，要建立融通发展新生态。大中小企业融通发展是释放大企业创新活力、激发中小企业创新潜力的有效渠道、提升产业链供应链稳定性和竞争力的重要途径。2022年工信部等11部门联合印发的《关于开展“携手行动”促进大中小企业融通创新（2022-2025年）的通知》，明确将着力构建大中小企业相互依存、相互促进的企业发展生态。我国目前已经培育了一批大中小企业融通型特色载体，初步形成了融通发展微生态体系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在大中小企业融通创新中，创新是融通的灵魂。这既需要创造“以大带小、以小托大”的生态模式，也需要营造“大河有水小河满，小河有水大河满”的良好发展生态，将以前的单点企业竞争逐步转向产业链的生态竞争。下一步要推动大企业、中小企业联合科研院所、高校等组建创新联合体，鼓励承接科技重大项目，加强共性技术研发；梳理产业链薄弱环节和大企业配套需求，组织专精特新中小企业开展技术攻关和样机研发，引导中小企业精准补链；发挥大企业龙头带动作用，推动大企业建设小型微型企业创业创新基地、高质量现代产业链园区，带动中小企业深度融入产业链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国务院发展研究中心原副主任王一鸣提到，通过供应链，龙头企业的数字化平台可以向中小企业开放，进而降低成本，帮助中小企业参与到转型升级过程中。</w:t>
      </w:r>
    </w:p>
    <w:p>
      <w:pPr>
        <w:pStyle w:val="style0"/>
        <w:rPr>
          <w:color w:val="36363d"/>
          <w:sz w:val="24"/>
          <w:szCs w:val="24"/>
        </w:rPr>
      </w:pPr>
    </w:p>
    <w:p>
      <w:pPr>
        <w:pStyle w:val="style0"/>
        <w:spacing w:lineRule="auto" w:line="360"/>
        <w:ind w:firstLineChars="200"/>
        <w:rPr>
          <w:color w:val="36363d"/>
          <w:sz w:val="24"/>
          <w:szCs w:val="24"/>
        </w:rPr>
      </w:pPr>
      <w:r>
        <w:rPr>
          <w:color w:val="36363d"/>
          <w:sz w:val="24"/>
          <w:szCs w:val="24"/>
        </w:rPr>
        <w:t>“企业家精神就像鱼一样，水温合适，鱼就会游过来。”对于刚刚度过艰难时期的中小企业，最能帮助他们更好更快恢复活力的，就是企业和政府的“双向奔赴”。土壤肥沃了，才会有更多种子发芽、更多幼苗破土，我国中小企业才能勇立潮头、敢于创新，实现快速健康发展，对国民经济全局做出更多更重要的贡献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3062</Words>
  <Characters>3144</Characters>
  <Application>WPS Office</Application>
  <Paragraphs>35</Paragraphs>
  <CharactersWithSpaces>3147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2023-02-24T10:11:58Z</dcterms:created>
  <dc:creator>OPPO R11s</dc:creator>
  <lastModifiedBy>OPPO R11s</lastModifiedBy>
  <dcterms:modified xsi:type="dcterms:W3CDTF">2023-02-27T01:32:02Z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cd180dabae8441cbaa45c5d565175b47_21</vt:lpwstr>
  </property>
</Properties>
</file>