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40"/>
          <w:lang w:val="en-US" w:eastAsia="zh-CN"/>
        </w:rPr>
      </w:pPr>
      <w:r>
        <w:rPr>
          <w:rFonts w:hint="eastAsia"/>
          <w:b/>
          <w:bCs/>
          <w:sz w:val="32"/>
          <w:szCs w:val="40"/>
          <w:lang w:val="en-US" w:eastAsia="zh-CN"/>
        </w:rPr>
        <w:t xml:space="preserve">  信而泰推出针对车载以太网测试更便捷、可靠组件</w:t>
      </w:r>
    </w:p>
    <w:p>
      <w:pPr>
        <w:ind w:firstLine="420" w:firstLineChars="0"/>
        <w:rPr>
          <w:rFonts w:hint="eastAsia"/>
          <w:b/>
          <w:bCs/>
          <w:lang w:val="en-US" w:eastAsia="zh-CN"/>
        </w:rPr>
      </w:pPr>
    </w:p>
    <w:p>
      <w:pPr>
        <w:rPr>
          <w:rFonts w:hint="eastAsia"/>
          <w:b/>
          <w:bCs/>
          <w:lang w:val="en-US" w:eastAsia="zh-CN"/>
        </w:rPr>
      </w:pPr>
    </w:p>
    <w:p>
      <w:pPr>
        <w:rPr>
          <w:rFonts w:hint="eastAsia"/>
          <w:b/>
          <w:bCs/>
          <w:highlight w:val="none"/>
          <w:lang w:val="en-US" w:eastAsia="zh-CN"/>
        </w:rPr>
      </w:pPr>
      <w:r>
        <w:rPr>
          <w:rFonts w:hint="eastAsia"/>
          <w:b/>
          <w:bCs/>
          <w:highlight w:val="none"/>
          <w:lang w:val="en-US" w:eastAsia="zh-CN"/>
        </w:rPr>
        <w:t>100/1000Base-T1网络：汽车网络的发展</w:t>
      </w:r>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ind w:firstLine="300" w:firstLineChars="200"/>
        <w:textAlignment w:val="auto"/>
        <w:rPr>
          <w:rFonts w:hint="eastAsia" w:ascii="微软雅黑" w:hAnsi="微软雅黑" w:eastAsia="微软雅黑" w:cs="微软雅黑"/>
          <w:i w:val="0"/>
          <w:iCs w:val="0"/>
          <w:caps w:val="0"/>
          <w:color w:val="191B1F"/>
          <w:spacing w:val="0"/>
          <w:sz w:val="15"/>
          <w:szCs w:val="15"/>
          <w:shd w:val="clear" w:fill="FFFFFF"/>
        </w:rPr>
      </w:pPr>
      <w:r>
        <w:rPr>
          <w:rFonts w:ascii="微软雅黑" w:hAnsi="微软雅黑" w:eastAsia="微软雅黑" w:cs="微软雅黑"/>
          <w:i w:val="0"/>
          <w:iCs w:val="0"/>
          <w:caps w:val="0"/>
          <w:color w:val="191B1F"/>
          <w:spacing w:val="0"/>
          <w:sz w:val="15"/>
          <w:szCs w:val="15"/>
          <w:shd w:val="clear" w:fill="FFFFFF"/>
        </w:rPr>
        <w:t>随着越来越多的电子控制单元（ECU）在车辆中实施，汽车电气系统的复杂性不断增加。这些ECU在更广泛的层面上共享实时数据，从而增加了对网络带宽的需求。</w:t>
      </w:r>
      <w:r>
        <w:rPr>
          <w:rFonts w:hint="eastAsia" w:ascii="微软雅黑" w:hAnsi="微软雅黑" w:eastAsia="微软雅黑" w:cs="微软雅黑"/>
          <w:i w:val="0"/>
          <w:iCs w:val="0"/>
          <w:caps w:val="0"/>
          <w:color w:val="191B1F"/>
          <w:spacing w:val="0"/>
          <w:sz w:val="15"/>
          <w:szCs w:val="15"/>
          <w:shd w:val="clear" w:fill="FFFFFF"/>
        </w:rPr>
        <w:t>为了解决带宽问题，汽车公司与领先的集成电路（IC）制造商和系统开发商合作，为汽车通信网络建立了全新的以太网标准。</w:t>
      </w:r>
    </w:p>
    <w:p>
      <w:pPr>
        <w:keepNext w:val="0"/>
        <w:keepLines w:val="0"/>
        <w:pageBreakBefore w:val="0"/>
        <w:widowControl w:val="0"/>
        <w:kinsoku/>
        <w:wordWrap/>
        <w:overflowPunct/>
        <w:topLinePunct w:val="0"/>
        <w:autoSpaceDE/>
        <w:autoSpaceDN/>
        <w:bidi w:val="0"/>
        <w:adjustRightInd/>
        <w:snapToGrid/>
        <w:ind w:firstLine="300" w:firstLineChars="200"/>
        <w:textAlignment w:val="auto"/>
        <w:rPr>
          <w:rFonts w:hint="eastAsia" w:ascii="微软雅黑" w:hAnsi="微软雅黑" w:eastAsia="微软雅黑" w:cs="微软雅黑"/>
          <w:i w:val="0"/>
          <w:iCs w:val="0"/>
          <w:caps w:val="0"/>
          <w:color w:val="191B1F"/>
          <w:spacing w:val="0"/>
          <w:sz w:val="15"/>
          <w:szCs w:val="15"/>
          <w:shd w:val="clear" w:fill="FFFFFF"/>
        </w:rPr>
      </w:pPr>
      <w:r>
        <w:rPr>
          <w:rFonts w:hint="eastAsia" w:ascii="微软雅黑" w:hAnsi="微软雅黑" w:eastAsia="微软雅黑" w:cs="微软雅黑"/>
          <w:i w:val="0"/>
          <w:iCs w:val="0"/>
          <w:caps w:val="0"/>
          <w:color w:val="191B1F"/>
          <w:spacing w:val="0"/>
          <w:sz w:val="15"/>
          <w:szCs w:val="15"/>
          <w:shd w:val="clear" w:fill="FFFFFF"/>
        </w:rPr>
        <w:t>IEEE 802.3bw（100BASE-T1）是汽车公司与领先的集成电路（IC）制造商和系统开发商共同开发的新物理层（PHY）通信协议。100BASE-T1是一种可行的解决方案，可通过单对非屏蔽双绞线电缆以100 Mbps的通信速度满足更大的带宽需求。 通过使用叠加，编码和加扰方案（以及一些无源组件）等技术，与传统的快速以太网（100BASE-TX）解决方案相比，100BASE-T1可降低电磁干扰（EMI），布线重量，成本和占用空间。</w:t>
      </w:r>
    </w:p>
    <w:p>
      <w:pPr>
        <w:rPr>
          <w:rFonts w:hint="eastAsia" w:ascii="微软雅黑" w:hAnsi="微软雅黑" w:eastAsia="微软雅黑" w:cs="微软雅黑"/>
          <w:i w:val="0"/>
          <w:iCs w:val="0"/>
          <w:caps w:val="0"/>
          <w:color w:val="191B1F"/>
          <w:spacing w:val="0"/>
          <w:sz w:val="15"/>
          <w:szCs w:val="15"/>
          <w:shd w:val="clear" w:fill="FFFFFF"/>
        </w:rPr>
      </w:pPr>
    </w:p>
    <w:p>
      <w:pPr>
        <w:numPr>
          <w:ilvl w:val="0"/>
          <w:numId w:val="1"/>
        </w:numPr>
        <w:tabs>
          <w:tab w:val="left" w:pos="251"/>
        </w:tabs>
        <w:ind w:left="420" w:leftChars="0" w:hanging="420" w:firstLineChars="0"/>
        <w:rPr>
          <w:rFonts w:hint="eastAsia" w:ascii="微软雅黑" w:hAnsi="微软雅黑" w:eastAsia="微软雅黑" w:cs="微软雅黑"/>
          <w:i w:val="0"/>
          <w:iCs w:val="0"/>
          <w:caps w:val="0"/>
          <w:color w:val="191B1F"/>
          <w:spacing w:val="0"/>
          <w:sz w:val="18"/>
          <w:szCs w:val="18"/>
          <w:shd w:val="clear" w:fill="FFFFFF"/>
        </w:rPr>
      </w:pPr>
      <w:r>
        <w:rPr>
          <w:rFonts w:hint="eastAsia" w:ascii="微软雅黑" w:hAnsi="微软雅黑" w:eastAsia="微软雅黑" w:cs="微软雅黑"/>
          <w:i w:val="0"/>
          <w:iCs w:val="0"/>
          <w:caps w:val="0"/>
          <w:color w:val="191B1F"/>
          <w:spacing w:val="0"/>
          <w:sz w:val="18"/>
          <w:szCs w:val="18"/>
          <w:shd w:val="clear" w:fill="FFFFFF"/>
          <w:lang w:val="en-US" w:eastAsia="zh-CN"/>
        </w:rPr>
        <w:tab/>
      </w:r>
      <w:r>
        <w:rPr>
          <w:rFonts w:hint="eastAsia" w:ascii="微软雅黑" w:hAnsi="微软雅黑" w:eastAsia="微软雅黑" w:cs="微软雅黑"/>
          <w:i w:val="0"/>
          <w:iCs w:val="0"/>
          <w:caps w:val="0"/>
          <w:color w:val="191B1F"/>
          <w:spacing w:val="0"/>
          <w:sz w:val="18"/>
          <w:szCs w:val="18"/>
          <w:shd w:val="clear" w:fill="FFFFFF"/>
          <w:lang w:val="en-US" w:eastAsia="zh-CN"/>
        </w:rPr>
        <w:t>各字段解释</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eastAsia" w:ascii="微软雅黑" w:hAnsi="微软雅黑" w:eastAsia="微软雅黑" w:cs="微软雅黑"/>
          <w:i w:val="0"/>
          <w:iCs w:val="0"/>
          <w:caps w:val="0"/>
          <w:color w:val="191B1F"/>
          <w:spacing w:val="0"/>
          <w:sz w:val="15"/>
          <w:szCs w:val="15"/>
          <w:shd w:val="clear" w:fill="FFFFFF"/>
        </w:rPr>
      </w:pPr>
      <w:r>
        <w:rPr>
          <w:rFonts w:hint="eastAsia" w:ascii="微软雅黑" w:hAnsi="微软雅黑" w:eastAsia="微软雅黑" w:cs="微软雅黑"/>
          <w:i w:val="0"/>
          <w:iCs w:val="0"/>
          <w:caps w:val="0"/>
          <w:color w:val="191B1F"/>
          <w:spacing w:val="0"/>
          <w:sz w:val="15"/>
          <w:szCs w:val="15"/>
          <w:shd w:val="clear" w:fill="FFFFFF"/>
          <w:lang w:val="en-US" w:eastAsia="zh-CN"/>
        </w:rPr>
        <w:t>100/1000：表示传输速率；100为100Mbit/s，1000Mbit/s；</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eastAsia" w:ascii="微软雅黑" w:hAnsi="微软雅黑" w:eastAsia="微软雅黑" w:cs="微软雅黑"/>
          <w:i w:val="0"/>
          <w:iCs w:val="0"/>
          <w:caps w:val="0"/>
          <w:color w:val="191B1F"/>
          <w:spacing w:val="0"/>
          <w:sz w:val="15"/>
          <w:szCs w:val="15"/>
          <w:shd w:val="clear" w:fill="FFFFFF"/>
        </w:rPr>
      </w:pPr>
      <w:r>
        <w:rPr>
          <w:rFonts w:hint="eastAsia" w:ascii="微软雅黑" w:hAnsi="微软雅黑" w:eastAsia="微软雅黑" w:cs="微软雅黑"/>
          <w:i w:val="0"/>
          <w:iCs w:val="0"/>
          <w:caps w:val="0"/>
          <w:color w:val="191B1F"/>
          <w:spacing w:val="0"/>
          <w:sz w:val="15"/>
          <w:szCs w:val="15"/>
          <w:shd w:val="clear" w:fill="FFFFFF"/>
          <w:lang w:val="en-US" w:eastAsia="zh-CN"/>
        </w:rPr>
        <w:t>Base：表示采用基带传输；</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eastAsia" w:ascii="微软雅黑" w:hAnsi="微软雅黑" w:eastAsia="微软雅黑" w:cs="微软雅黑"/>
          <w:i w:val="0"/>
          <w:iCs w:val="0"/>
          <w:caps w:val="0"/>
          <w:color w:val="191B1F"/>
          <w:spacing w:val="0"/>
          <w:sz w:val="15"/>
          <w:szCs w:val="15"/>
          <w:shd w:val="clear" w:fill="FFFFFF"/>
        </w:rPr>
      </w:pPr>
      <w:r>
        <w:rPr>
          <w:rFonts w:hint="eastAsia" w:ascii="微软雅黑" w:hAnsi="微软雅黑" w:eastAsia="微软雅黑" w:cs="微软雅黑"/>
          <w:i w:val="0"/>
          <w:iCs w:val="0"/>
          <w:caps w:val="0"/>
          <w:color w:val="191B1F"/>
          <w:spacing w:val="0"/>
          <w:sz w:val="15"/>
          <w:szCs w:val="15"/>
          <w:shd w:val="clear" w:fill="FFFFFF"/>
          <w:lang w:val="en-US" w:eastAsia="zh-CN"/>
        </w:rPr>
        <w:t>T：表示传输介质为双绞线，当为F时，表示为光纤；</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eastAsia" w:ascii="微软雅黑" w:hAnsi="微软雅黑" w:eastAsia="微软雅黑" w:cs="微软雅黑"/>
          <w:i w:val="0"/>
          <w:iCs w:val="0"/>
          <w:caps w:val="0"/>
          <w:color w:val="191B1F"/>
          <w:spacing w:val="0"/>
          <w:sz w:val="15"/>
          <w:szCs w:val="15"/>
          <w:shd w:val="clear" w:fill="FFFFFF"/>
        </w:rPr>
      </w:pPr>
      <w:r>
        <w:rPr>
          <w:rFonts w:hint="eastAsia" w:ascii="微软雅黑" w:hAnsi="微软雅黑" w:eastAsia="微软雅黑" w:cs="微软雅黑"/>
          <w:i w:val="0"/>
          <w:iCs w:val="0"/>
          <w:caps w:val="0"/>
          <w:color w:val="191B1F"/>
          <w:spacing w:val="0"/>
          <w:sz w:val="15"/>
          <w:szCs w:val="15"/>
          <w:shd w:val="clear" w:fill="FFFFFF"/>
          <w:lang w:val="en-US" w:eastAsia="zh-CN"/>
        </w:rPr>
        <w:t>X：为同一传输速率下的不同标准（例如100 BASE-T下有X或4两个标准），TX表示传输介质2对高质量的双绞线，一对用于发送数据，一对用于接受数据，</w:t>
      </w:r>
      <w:r>
        <w:rPr>
          <w:rFonts w:hint="eastAsia" w:ascii="微软雅黑" w:hAnsi="微软雅黑" w:eastAsia="微软雅黑" w:cs="微软雅黑"/>
          <w:i w:val="0"/>
          <w:iCs w:val="0"/>
          <w:caps w:val="0"/>
          <w:color w:val="191B1F"/>
          <w:spacing w:val="0"/>
          <w:sz w:val="15"/>
          <w:szCs w:val="15"/>
          <w:shd w:val="clear" w:fill="FFFFFF"/>
          <w:lang w:val="en-US" w:eastAsia="zh-CN"/>
        </w:rPr>
        <w:fldChar w:fldCharType="begin"/>
      </w:r>
      <w:r>
        <w:rPr>
          <w:rFonts w:hint="eastAsia" w:ascii="微软雅黑" w:hAnsi="微软雅黑" w:eastAsia="微软雅黑" w:cs="微软雅黑"/>
          <w:i w:val="0"/>
          <w:iCs w:val="0"/>
          <w:caps w:val="0"/>
          <w:color w:val="191B1F"/>
          <w:spacing w:val="0"/>
          <w:sz w:val="15"/>
          <w:szCs w:val="15"/>
          <w:shd w:val="clear" w:fill="FFFFFF"/>
          <w:lang w:val="en-US" w:eastAsia="zh-CN"/>
        </w:rPr>
        <w:instrText xml:space="preserve"> HYPERLINK "https://baike.baidu.com/item/%E7%BD%91%E7%BB%9C%E8%8A%82%E7%82%B9/9338583?fromModule=lemma_inlink" \o "网络节点" </w:instrText>
      </w:r>
      <w:r>
        <w:rPr>
          <w:rFonts w:hint="eastAsia" w:ascii="微软雅黑" w:hAnsi="微软雅黑" w:eastAsia="微软雅黑" w:cs="微软雅黑"/>
          <w:i w:val="0"/>
          <w:iCs w:val="0"/>
          <w:caps w:val="0"/>
          <w:color w:val="191B1F"/>
          <w:spacing w:val="0"/>
          <w:sz w:val="15"/>
          <w:szCs w:val="15"/>
          <w:shd w:val="clear" w:fill="FFFFFF"/>
          <w:lang w:val="en-US" w:eastAsia="zh-CN"/>
        </w:rPr>
        <w:fldChar w:fldCharType="separate"/>
      </w:r>
      <w:r>
        <w:rPr>
          <w:rFonts w:hint="eastAsia" w:ascii="微软雅黑" w:hAnsi="微软雅黑" w:eastAsia="微软雅黑" w:cs="微软雅黑"/>
          <w:i w:val="0"/>
          <w:iCs w:val="0"/>
          <w:caps w:val="0"/>
          <w:color w:val="191B1F"/>
          <w:spacing w:val="0"/>
          <w:sz w:val="15"/>
          <w:szCs w:val="15"/>
          <w:shd w:val="clear" w:fill="FFFFFF"/>
          <w:lang w:val="en-US" w:eastAsia="zh-CN"/>
        </w:rPr>
        <w:t>网络节点</w:t>
      </w:r>
      <w:r>
        <w:rPr>
          <w:rFonts w:hint="eastAsia" w:ascii="微软雅黑" w:hAnsi="微软雅黑" w:eastAsia="微软雅黑" w:cs="微软雅黑"/>
          <w:i w:val="0"/>
          <w:iCs w:val="0"/>
          <w:caps w:val="0"/>
          <w:color w:val="191B1F"/>
          <w:spacing w:val="0"/>
          <w:sz w:val="15"/>
          <w:szCs w:val="15"/>
          <w:shd w:val="clear" w:fill="FFFFFF"/>
          <w:lang w:val="en-US" w:eastAsia="zh-CN"/>
        </w:rPr>
        <w:fldChar w:fldCharType="end"/>
      </w:r>
      <w:r>
        <w:rPr>
          <w:rFonts w:hint="eastAsia" w:ascii="微软雅黑" w:hAnsi="微软雅黑" w:eastAsia="微软雅黑" w:cs="微软雅黑"/>
          <w:i w:val="0"/>
          <w:iCs w:val="0"/>
          <w:caps w:val="0"/>
          <w:color w:val="191B1F"/>
          <w:spacing w:val="0"/>
          <w:sz w:val="15"/>
          <w:szCs w:val="15"/>
          <w:shd w:val="clear" w:fill="FFFFFF"/>
          <w:lang w:val="en-US" w:eastAsia="zh-CN"/>
        </w:rPr>
        <w:t>与</w:t>
      </w:r>
      <w:r>
        <w:rPr>
          <w:rFonts w:hint="eastAsia" w:ascii="微软雅黑" w:hAnsi="微软雅黑" w:eastAsia="微软雅黑" w:cs="微软雅黑"/>
          <w:i w:val="0"/>
          <w:iCs w:val="0"/>
          <w:caps w:val="0"/>
          <w:color w:val="191B1F"/>
          <w:spacing w:val="0"/>
          <w:sz w:val="15"/>
          <w:szCs w:val="15"/>
          <w:shd w:val="clear" w:fill="FFFFFF"/>
          <w:lang w:val="en-US" w:eastAsia="zh-CN"/>
        </w:rPr>
        <w:fldChar w:fldCharType="begin"/>
      </w:r>
      <w:r>
        <w:rPr>
          <w:rFonts w:hint="eastAsia" w:ascii="微软雅黑" w:hAnsi="微软雅黑" w:eastAsia="微软雅黑" w:cs="微软雅黑"/>
          <w:i w:val="0"/>
          <w:iCs w:val="0"/>
          <w:caps w:val="0"/>
          <w:color w:val="191B1F"/>
          <w:spacing w:val="0"/>
          <w:sz w:val="15"/>
          <w:szCs w:val="15"/>
          <w:shd w:val="clear" w:fill="FFFFFF"/>
          <w:lang w:val="en-US" w:eastAsia="zh-CN"/>
        </w:rPr>
        <w:instrText xml:space="preserve"> HYPERLINK "https://baike.baidu.com/item/%E9%9B%86%E7%BA%BF%E5%99%A8/214614?fromModule=lemma_inlink" \o "集线器" </w:instrText>
      </w:r>
      <w:r>
        <w:rPr>
          <w:rFonts w:hint="eastAsia" w:ascii="微软雅黑" w:hAnsi="微软雅黑" w:eastAsia="微软雅黑" w:cs="微软雅黑"/>
          <w:i w:val="0"/>
          <w:iCs w:val="0"/>
          <w:caps w:val="0"/>
          <w:color w:val="191B1F"/>
          <w:spacing w:val="0"/>
          <w:sz w:val="15"/>
          <w:szCs w:val="15"/>
          <w:shd w:val="clear" w:fill="FFFFFF"/>
          <w:lang w:val="en-US" w:eastAsia="zh-CN"/>
        </w:rPr>
        <w:fldChar w:fldCharType="separate"/>
      </w:r>
      <w:r>
        <w:rPr>
          <w:rFonts w:hint="eastAsia" w:ascii="微软雅黑" w:hAnsi="微软雅黑" w:eastAsia="微软雅黑" w:cs="微软雅黑"/>
          <w:i w:val="0"/>
          <w:iCs w:val="0"/>
          <w:caps w:val="0"/>
          <w:color w:val="191B1F"/>
          <w:spacing w:val="0"/>
          <w:sz w:val="15"/>
          <w:szCs w:val="15"/>
          <w:shd w:val="clear" w:fill="FFFFFF"/>
          <w:lang w:val="en-US" w:eastAsia="zh-CN"/>
        </w:rPr>
        <w:t>集线器</w:t>
      </w:r>
      <w:r>
        <w:rPr>
          <w:rFonts w:hint="eastAsia" w:ascii="微软雅黑" w:hAnsi="微软雅黑" w:eastAsia="微软雅黑" w:cs="微软雅黑"/>
          <w:i w:val="0"/>
          <w:iCs w:val="0"/>
          <w:caps w:val="0"/>
          <w:color w:val="191B1F"/>
          <w:spacing w:val="0"/>
          <w:sz w:val="15"/>
          <w:szCs w:val="15"/>
          <w:shd w:val="clear" w:fill="FFFFFF"/>
          <w:lang w:val="en-US" w:eastAsia="zh-CN"/>
        </w:rPr>
        <w:fldChar w:fldCharType="end"/>
      </w:r>
      <w:r>
        <w:rPr>
          <w:rFonts w:hint="eastAsia" w:ascii="微软雅黑" w:hAnsi="微软雅黑" w:eastAsia="微软雅黑" w:cs="微软雅黑"/>
          <w:i w:val="0"/>
          <w:iCs w:val="0"/>
          <w:caps w:val="0"/>
          <w:color w:val="191B1F"/>
          <w:spacing w:val="0"/>
          <w:sz w:val="15"/>
          <w:szCs w:val="15"/>
          <w:shd w:val="clear" w:fill="FFFFFF"/>
          <w:lang w:val="en-US" w:eastAsia="zh-CN"/>
        </w:rPr>
        <w:t>的最大距离一般不超过100m；</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eastAsia" w:ascii="微软雅黑" w:hAnsi="微软雅黑" w:eastAsia="微软雅黑" w:cs="微软雅黑"/>
          <w:i w:val="0"/>
          <w:iCs w:val="0"/>
          <w:caps w:val="0"/>
          <w:color w:val="191B1F"/>
          <w:spacing w:val="0"/>
          <w:sz w:val="11"/>
          <w:szCs w:val="11"/>
          <w:shd w:val="clear" w:fill="FFFFFF"/>
          <w:lang w:val="en-US" w:eastAsia="zh-CN"/>
        </w:rPr>
      </w:pPr>
      <w:r>
        <w:rPr>
          <w:rFonts w:hint="eastAsia" w:ascii="微软雅黑" w:hAnsi="微软雅黑" w:eastAsia="微软雅黑" w:cs="微软雅黑"/>
          <w:i w:val="0"/>
          <w:iCs w:val="0"/>
          <w:caps w:val="0"/>
          <w:color w:val="191B1F"/>
          <w:spacing w:val="0"/>
          <w:sz w:val="15"/>
          <w:szCs w:val="15"/>
          <w:shd w:val="clear" w:fill="FFFFFF"/>
          <w:lang w:val="en-US" w:eastAsia="zh-CN"/>
        </w:rPr>
        <w:t>T1：一对双绞线传输。</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微软雅黑" w:hAnsi="微软雅黑" w:eastAsia="微软雅黑" w:cs="微软雅黑"/>
          <w:i w:val="0"/>
          <w:iCs w:val="0"/>
          <w:caps w:val="0"/>
          <w:color w:val="191B1F"/>
          <w:spacing w:val="0"/>
          <w:sz w:val="11"/>
          <w:szCs w:val="11"/>
          <w:shd w:val="clear" w:fill="FFFFFF"/>
        </w:rPr>
      </w:pPr>
      <w:r>
        <w:rPr>
          <w:rFonts w:hint="eastAsia" w:ascii="微软雅黑" w:hAnsi="微软雅黑" w:eastAsia="微软雅黑" w:cs="微软雅黑"/>
          <w:i w:val="0"/>
          <w:iCs w:val="0"/>
          <w:caps w:val="0"/>
          <w:color w:val="191B1F"/>
          <w:spacing w:val="0"/>
          <w:sz w:val="11"/>
          <w:szCs w:val="11"/>
          <w:shd w:val="clear" w:fill="FFFFFF"/>
          <w:lang w:val="en-US" w:eastAsia="zh-CN"/>
        </w:rPr>
        <w:tab/>
      </w:r>
    </w:p>
    <w:p>
      <w:pPr>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rPr>
          <w:rFonts w:hint="eastAsia" w:ascii="微软雅黑" w:hAnsi="微软雅黑" w:eastAsia="微软雅黑" w:cs="微软雅黑"/>
          <w:i w:val="0"/>
          <w:iCs w:val="0"/>
          <w:caps w:val="0"/>
          <w:color w:val="191B1F"/>
          <w:spacing w:val="0"/>
          <w:sz w:val="11"/>
          <w:szCs w:val="11"/>
          <w:shd w:val="clear" w:fill="FFFFFF"/>
        </w:rPr>
      </w:pPr>
      <w:r>
        <w:rPr>
          <w:rFonts w:ascii="宋体" w:hAnsi="宋体" w:eastAsia="宋体" w:cs="宋体"/>
          <w:sz w:val="24"/>
          <w:szCs w:val="24"/>
        </w:rPr>
        <w:drawing>
          <wp:inline distT="0" distB="0" distL="114300" distR="114300">
            <wp:extent cx="3914140" cy="873125"/>
            <wp:effectExtent l="0" t="0" r="10160" b="3175"/>
            <wp:docPr id="3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IMG_256"/>
                    <pic:cNvPicPr>
                      <a:picLocks noChangeAspect="1"/>
                    </pic:cNvPicPr>
                  </pic:nvPicPr>
                  <pic:blipFill>
                    <a:blip r:embed="rId4"/>
                    <a:stretch>
                      <a:fillRect/>
                    </a:stretch>
                  </pic:blipFill>
                  <pic:spPr>
                    <a:xfrm>
                      <a:off x="0" y="0"/>
                      <a:ext cx="3914140" cy="873125"/>
                    </a:xfrm>
                    <a:prstGeom prst="rect">
                      <a:avLst/>
                    </a:prstGeom>
                    <a:noFill/>
                    <a:ln w="9525">
                      <a:noFill/>
                    </a:ln>
                  </pic:spPr>
                </pic:pic>
              </a:graphicData>
            </a:graphic>
          </wp:inline>
        </w:drawing>
      </w:r>
    </w:p>
    <w:p>
      <w:pPr>
        <w:rPr>
          <w:rFonts w:hint="eastAsia"/>
          <w:b/>
          <w:bCs/>
          <w:highlight w:val="none"/>
          <w:lang w:val="en-US" w:eastAsia="zh-CN"/>
        </w:rPr>
      </w:pPr>
      <w:r>
        <w:rPr>
          <w:rFonts w:hint="eastAsia"/>
          <w:b/>
          <w:bCs/>
          <w:highlight w:val="none"/>
          <w:lang w:val="en-US" w:eastAsia="zh-CN"/>
        </w:rPr>
        <w:t>100/1000Base-T1如何在汽车以太网中大放异彩？</w:t>
      </w:r>
    </w:p>
    <w:p>
      <w:pPr>
        <w:rPr>
          <w:rFonts w:hint="eastAsia"/>
          <w:b/>
          <w:bCs/>
          <w:lang w:val="en-US" w:eastAsia="zh-CN"/>
        </w:rPr>
      </w:pPr>
    </w:p>
    <w:p>
      <w:pPr>
        <w:numPr>
          <w:ilvl w:val="0"/>
          <w:numId w:val="1"/>
        </w:numPr>
        <w:tabs>
          <w:tab w:val="left" w:pos="251"/>
        </w:tabs>
        <w:ind w:left="420" w:leftChars="0" w:hanging="420" w:firstLineChars="0"/>
        <w:rPr>
          <w:rFonts w:hint="eastAsia" w:ascii="微软雅黑" w:hAnsi="微软雅黑" w:eastAsia="微软雅黑" w:cs="微软雅黑"/>
          <w:i w:val="0"/>
          <w:iCs w:val="0"/>
          <w:caps w:val="0"/>
          <w:color w:val="191B1F"/>
          <w:spacing w:val="0"/>
          <w:sz w:val="18"/>
          <w:szCs w:val="18"/>
          <w:shd w:val="clear" w:fill="FFFFFF"/>
        </w:rPr>
      </w:pPr>
      <w:r>
        <w:rPr>
          <w:rFonts w:hint="eastAsia" w:ascii="微软雅黑" w:hAnsi="微软雅黑" w:eastAsia="微软雅黑" w:cs="微软雅黑"/>
          <w:i w:val="0"/>
          <w:iCs w:val="0"/>
          <w:caps w:val="0"/>
          <w:color w:val="191B1F"/>
          <w:spacing w:val="0"/>
          <w:sz w:val="18"/>
          <w:szCs w:val="18"/>
          <w:shd w:val="clear" w:fill="FFFFFF"/>
          <w:lang w:val="en-US" w:eastAsia="zh-CN"/>
        </w:rPr>
        <w:tab/>
      </w:r>
      <w:r>
        <w:rPr>
          <w:rFonts w:hint="eastAsia" w:ascii="微软雅黑" w:hAnsi="微软雅黑" w:eastAsia="微软雅黑" w:cs="微软雅黑"/>
          <w:b/>
          <w:bCs/>
          <w:i w:val="0"/>
          <w:iCs w:val="0"/>
          <w:caps w:val="0"/>
          <w:color w:val="191B1F"/>
          <w:spacing w:val="0"/>
          <w:sz w:val="18"/>
          <w:szCs w:val="18"/>
          <w:shd w:val="clear" w:fill="FFFFFF"/>
          <w:lang w:val="en-US" w:eastAsia="zh-CN"/>
        </w:rPr>
        <w:t>广泛的应用性</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eastAsia" w:ascii="微软雅黑" w:hAnsi="微软雅黑" w:eastAsia="微软雅黑" w:cs="微软雅黑"/>
          <w:i w:val="0"/>
          <w:iCs w:val="0"/>
          <w:caps w:val="0"/>
          <w:color w:val="191B1F"/>
          <w:spacing w:val="0"/>
          <w:sz w:val="15"/>
          <w:szCs w:val="15"/>
          <w:shd w:val="clear" w:fill="FFFFFF"/>
        </w:rPr>
      </w:pPr>
      <w:r>
        <w:rPr>
          <w:rFonts w:hint="eastAsia" w:ascii="微软雅黑" w:hAnsi="微软雅黑" w:eastAsia="微软雅黑" w:cs="微软雅黑"/>
          <w:i w:val="0"/>
          <w:iCs w:val="0"/>
          <w:caps w:val="0"/>
          <w:color w:val="191B1F"/>
          <w:spacing w:val="0"/>
          <w:sz w:val="15"/>
          <w:szCs w:val="15"/>
          <w:shd w:val="clear" w:fill="FFFFFF"/>
        </w:rPr>
        <w:t>一些车辆使用100BASE-TX作为车载诊断（OBD）扫描工具。 但是，100BASE-TX无法在汽车生态系统中发展，因为它需要两根双绞线，并且不符合严格的CISPR（Comité International Spécial des Perturbations Radioélectriques）25 Class5发射</w:t>
      </w:r>
      <w:r>
        <w:rPr>
          <w:rFonts w:hint="eastAsia" w:ascii="微软雅黑" w:hAnsi="微软雅黑" w:eastAsia="微软雅黑" w:cs="微软雅黑"/>
          <w:i w:val="0"/>
          <w:iCs w:val="0"/>
          <w:caps w:val="0"/>
          <w:color w:val="191B1F"/>
          <w:spacing w:val="0"/>
          <w:sz w:val="15"/>
          <w:szCs w:val="15"/>
          <w:shd w:val="clear" w:fill="FFFFFF"/>
          <w:lang w:val="en-US" w:eastAsia="zh-CN"/>
        </w:rPr>
        <w:t>极限值；</w:t>
      </w:r>
    </w:p>
    <w:p>
      <w:pPr>
        <w:numPr>
          <w:ilvl w:val="0"/>
          <w:numId w:val="1"/>
        </w:numPr>
        <w:tabs>
          <w:tab w:val="left" w:pos="251"/>
        </w:tabs>
        <w:ind w:left="420" w:leftChars="0" w:hanging="420" w:firstLineChars="0"/>
        <w:rPr>
          <w:rFonts w:hint="eastAsia" w:ascii="微软雅黑" w:hAnsi="微软雅黑" w:eastAsia="微软雅黑" w:cs="微软雅黑"/>
          <w:b/>
          <w:bCs/>
          <w:i w:val="0"/>
          <w:iCs w:val="0"/>
          <w:caps w:val="0"/>
          <w:color w:val="191B1F"/>
          <w:spacing w:val="0"/>
          <w:sz w:val="18"/>
          <w:szCs w:val="18"/>
          <w:shd w:val="clear" w:fill="FFFFFF"/>
          <w:lang w:val="en-US" w:eastAsia="zh-CN"/>
        </w:rPr>
      </w:pPr>
      <w:r>
        <w:rPr>
          <w:rFonts w:hint="eastAsia" w:ascii="微软雅黑" w:hAnsi="微软雅黑" w:eastAsia="微软雅黑" w:cs="微软雅黑"/>
          <w:b/>
          <w:bCs/>
          <w:i w:val="0"/>
          <w:iCs w:val="0"/>
          <w:caps w:val="0"/>
          <w:color w:val="191B1F"/>
          <w:spacing w:val="0"/>
          <w:sz w:val="18"/>
          <w:szCs w:val="18"/>
          <w:shd w:val="clear" w:fill="FFFFFF"/>
          <w:lang w:val="en-US" w:eastAsia="zh-CN"/>
        </w:rPr>
        <w:tab/>
      </w:r>
      <w:r>
        <w:rPr>
          <w:rFonts w:hint="eastAsia" w:ascii="微软雅黑" w:hAnsi="微软雅黑" w:eastAsia="微软雅黑" w:cs="微软雅黑"/>
          <w:b/>
          <w:bCs/>
          <w:i w:val="0"/>
          <w:iCs w:val="0"/>
          <w:caps w:val="0"/>
          <w:color w:val="191B1F"/>
          <w:spacing w:val="0"/>
          <w:sz w:val="18"/>
          <w:szCs w:val="18"/>
          <w:shd w:val="clear" w:fill="FFFFFF"/>
          <w:lang w:val="en-US" w:eastAsia="zh-CN"/>
        </w:rPr>
        <w:t>更高的灵活性</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eastAsia" w:ascii="微软雅黑" w:hAnsi="微软雅黑" w:eastAsia="微软雅黑" w:cs="微软雅黑"/>
          <w:i w:val="0"/>
          <w:iCs w:val="0"/>
          <w:caps w:val="0"/>
          <w:color w:val="191B1F"/>
          <w:spacing w:val="0"/>
          <w:sz w:val="15"/>
          <w:szCs w:val="15"/>
          <w:shd w:val="clear" w:fill="FFFFFF"/>
        </w:rPr>
      </w:pPr>
      <w:r>
        <w:rPr>
          <w:rFonts w:hint="eastAsia" w:ascii="微软雅黑" w:hAnsi="微软雅黑" w:eastAsia="微软雅黑" w:cs="微软雅黑"/>
          <w:i w:val="0"/>
          <w:iCs w:val="0"/>
          <w:caps w:val="0"/>
          <w:color w:val="191B1F"/>
          <w:spacing w:val="0"/>
          <w:sz w:val="15"/>
          <w:szCs w:val="15"/>
          <w:shd w:val="clear" w:fill="FFFFFF"/>
          <w:lang w:val="en-US" w:eastAsia="zh-CN"/>
        </w:rPr>
        <w:t>100/1000Base-TX主要使用双绞线作为传输介质，特别是100Base-TX，它使用两对阻抗为100 ohms的5类非屏蔽双绞线，最大传输距离为100米。而1000Base-T1则采用了不同的设计，它在单一对线缆上实现1000Mbps的数据传输，这意味着它在传输介质和布线方面具有更高的灵活性；</w:t>
      </w:r>
    </w:p>
    <w:p>
      <w:pPr>
        <w:numPr>
          <w:ilvl w:val="0"/>
          <w:numId w:val="1"/>
        </w:numPr>
        <w:tabs>
          <w:tab w:val="left" w:pos="251"/>
        </w:tabs>
        <w:ind w:left="420" w:leftChars="0" w:hanging="420" w:firstLineChars="0"/>
        <w:rPr>
          <w:rFonts w:hint="eastAsia" w:ascii="微软雅黑" w:hAnsi="微软雅黑" w:eastAsia="微软雅黑" w:cs="微软雅黑"/>
          <w:i w:val="0"/>
          <w:iCs w:val="0"/>
          <w:caps w:val="0"/>
          <w:color w:val="191B1F"/>
          <w:spacing w:val="0"/>
          <w:sz w:val="18"/>
          <w:szCs w:val="18"/>
          <w:shd w:val="clear" w:fill="FFFFFF"/>
          <w:lang w:val="en-US" w:eastAsia="zh-CN"/>
        </w:rPr>
      </w:pPr>
      <w:r>
        <w:rPr>
          <w:rFonts w:hint="eastAsia" w:ascii="微软雅黑" w:hAnsi="微软雅黑" w:eastAsia="微软雅黑" w:cs="微软雅黑"/>
          <w:i w:val="0"/>
          <w:iCs w:val="0"/>
          <w:caps w:val="0"/>
          <w:color w:val="191B1F"/>
          <w:spacing w:val="0"/>
          <w:sz w:val="18"/>
          <w:szCs w:val="18"/>
          <w:shd w:val="clear" w:fill="FFFFFF"/>
          <w:lang w:val="en-US" w:eastAsia="zh-CN"/>
        </w:rPr>
        <w:tab/>
      </w:r>
      <w:r>
        <w:rPr>
          <w:rFonts w:hint="eastAsia" w:ascii="微软雅黑" w:hAnsi="微软雅黑" w:eastAsia="微软雅黑" w:cs="微软雅黑"/>
          <w:i w:val="0"/>
          <w:iCs w:val="0"/>
          <w:caps w:val="0"/>
          <w:color w:val="191B1F"/>
          <w:spacing w:val="0"/>
          <w:sz w:val="18"/>
          <w:szCs w:val="18"/>
          <w:shd w:val="clear" w:fill="FFFFFF"/>
          <w:lang w:val="en-US" w:eastAsia="zh-CN"/>
        </w:rPr>
        <w:t>可靠的稳定性</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rFonts w:hint="eastAsia" w:ascii="微软雅黑" w:hAnsi="微软雅黑" w:eastAsia="微软雅黑" w:cs="微软雅黑"/>
          <w:i w:val="0"/>
          <w:iCs w:val="0"/>
          <w:caps w:val="0"/>
          <w:color w:val="191B1F"/>
          <w:spacing w:val="0"/>
          <w:sz w:val="15"/>
          <w:szCs w:val="15"/>
          <w:shd w:val="clear" w:fill="FFFFFF"/>
          <w:lang w:val="en-US" w:eastAsia="zh-CN"/>
        </w:rPr>
        <w:t>1000Base-T1使用的是8B/10B编码方式，而100Base-TX采用的是4B/5B编码方式。虽然这两种编码方式都是为了提高传输效率和准确性，但8B/10B编码方式在复杂性和冗余性上可能稍高一些，但相应地，它也可能提供更好的错误检测和纠正能力。</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微软雅黑" w:hAnsi="微软雅黑" w:eastAsia="微软雅黑" w:cs="微软雅黑"/>
          <w:i w:val="0"/>
          <w:iCs w:val="0"/>
          <w:caps w:val="0"/>
          <w:color w:val="191B1F"/>
          <w:spacing w:val="0"/>
          <w:sz w:val="11"/>
          <w:szCs w:val="11"/>
          <w:shd w:val="clear"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300" w:firstLineChars="200"/>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rFonts w:hint="eastAsia" w:ascii="微软雅黑" w:hAnsi="微软雅黑" w:eastAsia="微软雅黑" w:cs="微软雅黑"/>
          <w:i w:val="0"/>
          <w:iCs w:val="0"/>
          <w:caps w:val="0"/>
          <w:color w:val="191B1F"/>
          <w:spacing w:val="0"/>
          <w:sz w:val="15"/>
          <w:szCs w:val="15"/>
          <w:shd w:val="clear" w:fill="FFFFFF"/>
          <w:lang w:val="en-US" w:eastAsia="zh-CN"/>
        </w:rPr>
        <w:t>汽车以太网的使用灵活，能够显著提高数据速率，相比传统的CAN HS/FD具有明显优势。它能够桥接各种复杂的通信域，因此在未来车载数据通信架构中发挥着重要作用。随着ADAS（高级驾驶辅助系统）、信息娱乐系统和动力系统等关键应用在汽车领域的显著增长，100/1000Base-T1的需求也在不断增加；</w:t>
      </w:r>
    </w:p>
    <w:p>
      <w:pPr>
        <w:keepNext w:val="0"/>
        <w:keepLines w:val="0"/>
        <w:pageBreakBefore w:val="0"/>
        <w:widowControl w:val="0"/>
        <w:numPr>
          <w:ilvl w:val="0"/>
          <w:numId w:val="0"/>
        </w:numPr>
        <w:kinsoku/>
        <w:wordWrap/>
        <w:overflowPunct/>
        <w:topLinePunct w:val="0"/>
        <w:autoSpaceDE/>
        <w:autoSpaceDN/>
        <w:bidi w:val="0"/>
        <w:adjustRightInd/>
        <w:snapToGrid/>
        <w:ind w:firstLine="300" w:firstLineChars="200"/>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rFonts w:hint="eastAsia" w:ascii="微软雅黑" w:hAnsi="微软雅黑" w:eastAsia="微软雅黑" w:cs="微软雅黑"/>
          <w:i w:val="0"/>
          <w:iCs w:val="0"/>
          <w:caps w:val="0"/>
          <w:color w:val="191B1F"/>
          <w:spacing w:val="0"/>
          <w:sz w:val="15"/>
          <w:szCs w:val="15"/>
          <w:shd w:val="clear" w:fill="FFFFFF"/>
          <w:lang w:val="en-US" w:eastAsia="zh-CN"/>
        </w:rPr>
        <w:t>综上所述，100/1000Base-T1标准在汽车以太网领域的应用广泛，尤其在需要高速数据传输和复杂通信的应用场景中，如汽车产品开发、测试以及未来的关键车载应用如ADAS等。通过采用这一标准，汽车行业能够实现更高效、可靠和灵活的数据通信，推动汽车技术的不断进步。</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微软雅黑" w:hAnsi="微软雅黑" w:eastAsia="微软雅黑" w:cs="微软雅黑"/>
          <w:i w:val="0"/>
          <w:iCs w:val="0"/>
          <w:caps w:val="0"/>
          <w:color w:val="191B1F"/>
          <w:spacing w:val="0"/>
          <w:sz w:val="11"/>
          <w:szCs w:val="11"/>
          <w:shd w:val="clear" w:fill="FFFFFF"/>
          <w:lang w:val="en-US" w:eastAsia="zh-CN"/>
        </w:rPr>
      </w:pPr>
    </w:p>
    <w:p>
      <w:pPr>
        <w:rPr>
          <w:rFonts w:hint="eastAsia"/>
          <w:b/>
          <w:bCs/>
          <w:highlight w:val="none"/>
          <w:lang w:val="en-US" w:eastAsia="zh-CN"/>
        </w:rPr>
      </w:pPr>
      <w:r>
        <w:rPr>
          <w:rFonts w:hint="eastAsia"/>
          <w:b/>
          <w:bCs/>
          <w:highlight w:val="none"/>
          <w:lang w:val="en-US" w:eastAsia="zh-CN"/>
        </w:rPr>
        <w:t>车载以太网与标准以太网之间如何通信呢？</w:t>
      </w:r>
    </w:p>
    <w:p>
      <w:pPr>
        <w:rPr>
          <w:rFonts w:hint="eastAsia"/>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300" w:firstLineChars="200"/>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rFonts w:hint="eastAsia" w:ascii="微软雅黑" w:hAnsi="微软雅黑" w:eastAsia="微软雅黑" w:cs="微软雅黑"/>
          <w:i w:val="0"/>
          <w:iCs w:val="0"/>
          <w:caps w:val="0"/>
          <w:color w:val="191B1F"/>
          <w:spacing w:val="0"/>
          <w:sz w:val="15"/>
          <w:szCs w:val="15"/>
          <w:shd w:val="clear" w:fill="FFFFFF"/>
          <w:lang w:val="en-US" w:eastAsia="zh-CN"/>
        </w:rPr>
        <w:t>普通标准以太网采用的是10/100BASE-TX和1000BASE-T，采用RJ45接口，传输距离一般在100米左右。车载以太网采用的标准是100/1000BASE-T1，采用1对双绞线传输。这就会导致两种不同类型的以太网因为接口类型不同而无法进行互联互通。</w:t>
      </w:r>
    </w:p>
    <w:p>
      <w:pPr>
        <w:keepNext w:val="0"/>
        <w:keepLines w:val="0"/>
        <w:pageBreakBefore w:val="0"/>
        <w:widowControl w:val="0"/>
        <w:numPr>
          <w:ilvl w:val="0"/>
          <w:numId w:val="0"/>
        </w:numPr>
        <w:kinsoku/>
        <w:wordWrap/>
        <w:overflowPunct/>
        <w:topLinePunct w:val="0"/>
        <w:autoSpaceDE/>
        <w:autoSpaceDN/>
        <w:bidi w:val="0"/>
        <w:adjustRightInd/>
        <w:snapToGrid/>
        <w:ind w:firstLine="300" w:firstLineChars="200"/>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rFonts w:hint="eastAsia" w:ascii="微软雅黑" w:hAnsi="微软雅黑" w:eastAsia="微软雅黑" w:cs="微软雅黑"/>
          <w:i w:val="0"/>
          <w:iCs w:val="0"/>
          <w:caps w:val="0"/>
          <w:color w:val="191B1F"/>
          <w:spacing w:val="0"/>
          <w:sz w:val="15"/>
          <w:szCs w:val="15"/>
          <w:shd w:val="clear" w:fill="FFFFFF"/>
          <w:lang w:val="en-US" w:eastAsia="zh-CN"/>
        </w:rPr>
        <w:t>在这种困境下信而泰推出了ETT1-100/1000、FTT1-1000车载以太网接口转换模块，充分解决了因接口类型不同而无法通信的问题。</w:t>
      </w:r>
    </w:p>
    <w:p>
      <w:pPr>
        <w:keepNext w:val="0"/>
        <w:keepLines w:val="0"/>
        <w:pageBreakBefore w:val="0"/>
        <w:widowControl w:val="0"/>
        <w:numPr>
          <w:ilvl w:val="0"/>
          <w:numId w:val="0"/>
        </w:numPr>
        <w:kinsoku/>
        <w:wordWrap/>
        <w:overflowPunct/>
        <w:topLinePunct w:val="0"/>
        <w:autoSpaceDE/>
        <w:autoSpaceDN/>
        <w:bidi w:val="0"/>
        <w:adjustRightInd/>
        <w:snapToGrid/>
        <w:ind w:firstLine="300" w:firstLineChars="200"/>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p>
    <w:p>
      <w:pPr>
        <w:rPr>
          <w:rFonts w:hint="eastAsia"/>
          <w:b/>
          <w:bCs/>
          <w:highlight w:val="none"/>
          <w:lang w:val="en-US" w:eastAsia="zh-CN"/>
        </w:rPr>
      </w:pPr>
      <w:r>
        <w:rPr>
          <w:rFonts w:hint="eastAsia"/>
          <w:b/>
          <w:bCs/>
          <w:highlight w:val="none"/>
          <w:lang w:val="en-US" w:eastAsia="zh-CN"/>
        </w:rPr>
        <w:t>信而泰车载以太网接口转换模块</w:t>
      </w:r>
    </w:p>
    <w:p>
      <w:pPr>
        <w:rPr>
          <w:rFonts w:hint="default"/>
          <w:b/>
          <w:bCs/>
          <w:lang w:val="en-US" w:eastAsia="zh-CN"/>
        </w:rPr>
      </w:pPr>
    </w:p>
    <w:p>
      <w:pPr>
        <w:numPr>
          <w:ilvl w:val="0"/>
          <w:numId w:val="1"/>
        </w:numPr>
        <w:tabs>
          <w:tab w:val="left" w:pos="251"/>
        </w:tabs>
        <w:ind w:left="420" w:leftChars="0" w:hanging="420" w:firstLineChars="0"/>
        <w:rPr>
          <w:rFonts w:hint="eastAsia" w:ascii="微软雅黑" w:hAnsi="微软雅黑" w:eastAsia="微软雅黑" w:cs="微软雅黑"/>
          <w:i w:val="0"/>
          <w:iCs w:val="0"/>
          <w:caps w:val="0"/>
          <w:color w:val="191B1F"/>
          <w:spacing w:val="0"/>
          <w:sz w:val="18"/>
          <w:szCs w:val="18"/>
          <w:shd w:val="clear" w:fill="FFFFFF"/>
        </w:rPr>
      </w:pPr>
      <w:r>
        <w:rPr>
          <w:rFonts w:hint="eastAsia" w:ascii="微软雅黑" w:hAnsi="微软雅黑" w:eastAsia="微软雅黑" w:cs="微软雅黑"/>
          <w:i w:val="0"/>
          <w:iCs w:val="0"/>
          <w:caps w:val="0"/>
          <w:color w:val="191B1F"/>
          <w:spacing w:val="0"/>
          <w:sz w:val="18"/>
          <w:szCs w:val="18"/>
          <w:shd w:val="clear" w:fill="FFFFFF"/>
          <w:lang w:val="en-US" w:eastAsia="zh-CN"/>
        </w:rPr>
        <w:tab/>
      </w:r>
      <w:r>
        <w:rPr>
          <w:rFonts w:hint="eastAsia" w:ascii="微软雅黑" w:hAnsi="微软雅黑" w:eastAsia="微软雅黑" w:cs="微软雅黑"/>
          <w:i w:val="0"/>
          <w:iCs w:val="0"/>
          <w:caps w:val="0"/>
          <w:color w:val="191B1F"/>
          <w:spacing w:val="0"/>
          <w:sz w:val="18"/>
          <w:szCs w:val="18"/>
          <w:shd w:val="clear" w:fill="FFFFFF"/>
          <w:lang w:val="en-US" w:eastAsia="zh-CN"/>
        </w:rPr>
        <w:t>ETTH-T1</w:t>
      </w:r>
    </w:p>
    <w:p>
      <w:pPr>
        <w:keepNext w:val="0"/>
        <w:keepLines w:val="0"/>
        <w:pageBreakBefore w:val="0"/>
        <w:widowControl w:val="0"/>
        <w:numPr>
          <w:ilvl w:val="0"/>
          <w:numId w:val="0"/>
        </w:numPr>
        <w:kinsoku/>
        <w:wordWrap/>
        <w:overflowPunct/>
        <w:topLinePunct w:val="0"/>
        <w:autoSpaceDE/>
        <w:autoSpaceDN/>
        <w:bidi w:val="0"/>
        <w:adjustRightInd/>
        <w:snapToGrid/>
        <w:ind w:firstLine="300" w:firstLineChars="200"/>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rFonts w:hint="eastAsia" w:ascii="微软雅黑" w:hAnsi="微软雅黑" w:eastAsia="微软雅黑" w:cs="微软雅黑"/>
          <w:i w:val="0"/>
          <w:iCs w:val="0"/>
          <w:caps w:val="0"/>
          <w:color w:val="191B1F"/>
          <w:spacing w:val="0"/>
          <w:sz w:val="15"/>
          <w:szCs w:val="15"/>
          <w:shd w:val="clear" w:fill="FFFFFF"/>
          <w:lang w:val="en-US" w:eastAsia="zh-CN"/>
        </w:rPr>
        <w:t>ETTH-T1 是一种车载以太网接口转换模块，支持100/1000BASE-T1与100/1000BASE-T接口互转，实现车载以太网 ECU 与 PC 机之间的正常通信。</w:t>
      </w:r>
    </w:p>
    <w:p>
      <w:pPr>
        <w:keepNext w:val="0"/>
        <w:keepLines w:val="0"/>
        <w:pageBreakBefore w:val="0"/>
        <w:widowControl w:val="0"/>
        <w:numPr>
          <w:ilvl w:val="0"/>
          <w:numId w:val="0"/>
        </w:numPr>
        <w:kinsoku/>
        <w:wordWrap/>
        <w:overflowPunct/>
        <w:topLinePunct w:val="0"/>
        <w:autoSpaceDE/>
        <w:autoSpaceDN/>
        <w:bidi w:val="0"/>
        <w:adjustRightInd/>
        <w:snapToGrid/>
        <w:ind w:firstLine="300" w:firstLineChars="200"/>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rFonts w:hint="eastAsia" w:ascii="微软雅黑" w:hAnsi="微软雅黑" w:eastAsia="微软雅黑" w:cs="微软雅黑"/>
          <w:i w:val="0"/>
          <w:iCs w:val="0"/>
          <w:caps w:val="0"/>
          <w:color w:val="191B1F"/>
          <w:spacing w:val="0"/>
          <w:sz w:val="15"/>
          <w:szCs w:val="15"/>
          <w:shd w:val="clear" w:fill="FFFFFF"/>
          <w:lang w:val="en-US" w:eastAsia="zh-CN"/>
        </w:rPr>
        <w:drawing>
          <wp:inline distT="0" distB="0" distL="114300" distR="114300">
            <wp:extent cx="5273040" cy="2636520"/>
            <wp:effectExtent l="0" t="0" r="0" b="0"/>
            <wp:docPr id="35" name="图片 35"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2"/>
                    <pic:cNvPicPr>
                      <a:picLocks noChangeAspect="1"/>
                    </pic:cNvPicPr>
                  </pic:nvPicPr>
                  <pic:blipFill>
                    <a:blip r:embed="rId5"/>
                    <a:stretch>
                      <a:fillRect/>
                    </a:stretch>
                  </pic:blipFill>
                  <pic:spPr>
                    <a:xfrm>
                      <a:off x="0" y="0"/>
                      <a:ext cx="5273040" cy="263652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300" w:firstLineChars="200"/>
        <w:jc w:val="center"/>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rFonts w:hint="eastAsia" w:ascii="微软雅黑" w:hAnsi="微软雅黑" w:eastAsia="微软雅黑" w:cs="微软雅黑"/>
          <w:i w:val="0"/>
          <w:iCs w:val="0"/>
          <w:caps w:val="0"/>
          <w:color w:val="191B1F"/>
          <w:spacing w:val="0"/>
          <w:sz w:val="15"/>
          <w:szCs w:val="15"/>
          <w:shd w:val="clear" w:fill="FFFFFF"/>
          <w:lang w:val="en-US" w:eastAsia="zh-CN"/>
        </w:rPr>
        <w:drawing>
          <wp:inline distT="0" distB="0" distL="114300" distR="114300">
            <wp:extent cx="2060575" cy="1456690"/>
            <wp:effectExtent l="0" t="0" r="12065" b="6350"/>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6"/>
                    <a:stretch>
                      <a:fillRect/>
                    </a:stretch>
                  </pic:blipFill>
                  <pic:spPr>
                    <a:xfrm>
                      <a:off x="0" y="0"/>
                      <a:ext cx="2060575" cy="1456690"/>
                    </a:xfrm>
                    <a:prstGeom prst="rect">
                      <a:avLst/>
                    </a:prstGeom>
                  </pic:spPr>
                </pic:pic>
              </a:graphicData>
            </a:graphic>
          </wp:inline>
        </w:drawing>
      </w:r>
      <w:r>
        <w:rPr>
          <w:rFonts w:hint="eastAsia" w:ascii="微软雅黑" w:hAnsi="微软雅黑" w:eastAsia="微软雅黑" w:cs="微软雅黑"/>
          <w:i w:val="0"/>
          <w:iCs w:val="0"/>
          <w:caps w:val="0"/>
          <w:color w:val="191B1F"/>
          <w:spacing w:val="0"/>
          <w:sz w:val="15"/>
          <w:szCs w:val="15"/>
          <w:shd w:val="clear" w:fill="FFFFFF"/>
          <w:lang w:val="en-US" w:eastAsia="zh-CN"/>
        </w:rPr>
        <w:drawing>
          <wp:inline distT="0" distB="0" distL="114300" distR="114300">
            <wp:extent cx="1953895" cy="1490980"/>
            <wp:effectExtent l="0" t="0" r="12065" b="254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7"/>
                    <a:stretch>
                      <a:fillRect/>
                    </a:stretch>
                  </pic:blipFill>
                  <pic:spPr>
                    <a:xfrm>
                      <a:off x="0" y="0"/>
                      <a:ext cx="1953895" cy="14909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微软雅黑" w:hAnsi="微软雅黑" w:eastAsia="微软雅黑" w:cs="微软雅黑"/>
          <w:i w:val="0"/>
          <w:iCs w:val="0"/>
          <w:caps w:val="0"/>
          <w:color w:val="191B1F"/>
          <w:spacing w:val="0"/>
          <w:sz w:val="11"/>
          <w:szCs w:val="11"/>
          <w:shd w:val="clear" w:fill="FFFFFF"/>
          <w:lang w:val="en-US" w:eastAsia="zh-CN"/>
        </w:rPr>
      </w:pPr>
      <w:r>
        <w:rPr>
          <w:rFonts w:hint="eastAsia" w:ascii="微软雅黑" w:hAnsi="微软雅黑" w:eastAsia="微软雅黑" w:cs="微软雅黑"/>
          <w:i w:val="0"/>
          <w:iCs w:val="0"/>
          <w:caps w:val="0"/>
          <w:color w:val="191B1F"/>
          <w:spacing w:val="0"/>
          <w:sz w:val="11"/>
          <w:szCs w:val="11"/>
          <w:shd w:val="clear" w:fill="FFFFFF"/>
          <w:lang w:val="en-US" w:eastAsia="zh-CN"/>
        </w:rPr>
        <w:t>图1 ETT1-100/1000模块实物图</w:t>
      </w:r>
    </w:p>
    <w:p>
      <w:pPr>
        <w:keepNext w:val="0"/>
        <w:keepLines w:val="0"/>
        <w:pageBreakBefore w:val="0"/>
        <w:widowControl w:val="0"/>
        <w:numPr>
          <w:ilvl w:val="0"/>
          <w:numId w:val="0"/>
        </w:numPr>
        <w:kinsoku/>
        <w:wordWrap/>
        <w:overflowPunct/>
        <w:topLinePunct w:val="0"/>
        <w:autoSpaceDE/>
        <w:autoSpaceDN/>
        <w:bidi w:val="0"/>
        <w:adjustRightInd/>
        <w:snapToGrid/>
        <w:ind w:firstLine="300" w:firstLineChars="200"/>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360" w:firstLineChars="200"/>
        <w:textAlignment w:val="auto"/>
        <w:rPr>
          <w:rFonts w:hint="eastAsia" w:ascii="微软雅黑" w:hAnsi="微软雅黑" w:eastAsia="微软雅黑" w:cs="微软雅黑"/>
          <w:b/>
          <w:bCs/>
          <w:i w:val="0"/>
          <w:iCs w:val="0"/>
          <w:caps w:val="0"/>
          <w:color w:val="191B1F"/>
          <w:spacing w:val="0"/>
          <w:sz w:val="18"/>
          <w:szCs w:val="18"/>
          <w:shd w:val="clear" w:fill="FFFFFF"/>
          <w:lang w:val="en-US" w:eastAsia="zh-CN"/>
        </w:rPr>
      </w:pPr>
      <w:r>
        <w:rPr>
          <w:rFonts w:hint="eastAsia" w:ascii="微软雅黑" w:hAnsi="微软雅黑" w:eastAsia="微软雅黑" w:cs="微软雅黑"/>
          <w:b/>
          <w:bCs/>
          <w:i w:val="0"/>
          <w:iCs w:val="0"/>
          <w:caps w:val="0"/>
          <w:color w:val="191B1F"/>
          <w:spacing w:val="0"/>
          <w:sz w:val="18"/>
          <w:szCs w:val="18"/>
          <w:shd w:val="clear" w:fill="FFFFFF"/>
          <w:lang w:val="en-US" w:eastAsia="zh-CN"/>
        </w:rPr>
        <w:t>功能介绍：</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rFonts w:hint="eastAsia" w:ascii="微软雅黑" w:hAnsi="微软雅黑" w:eastAsia="微软雅黑" w:cs="微软雅黑"/>
          <w:i w:val="0"/>
          <w:iCs w:val="0"/>
          <w:caps w:val="0"/>
          <w:color w:val="191B1F"/>
          <w:spacing w:val="0"/>
          <w:sz w:val="15"/>
          <w:szCs w:val="15"/>
          <w:shd w:val="clear" w:fill="FFFFFF"/>
          <w:lang w:val="en-US" w:eastAsia="zh-CN"/>
        </w:rPr>
        <w:t>支持 100BASE-T1 与 100BASE-TX 接口互转；</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支持 1000BASE-T1 与 1000BASE-T 接口互转</w:t>
      </w:r>
      <w:r>
        <w:rPr>
          <w:rFonts w:hint="eastAsia" w:ascii="微软雅黑" w:hAnsi="微软雅黑" w:eastAsia="微软雅黑" w:cs="微软雅黑"/>
          <w:i w:val="0"/>
          <w:iCs w:val="0"/>
          <w:caps w:val="0"/>
          <w:color w:val="191B1F"/>
          <w:spacing w:val="0"/>
          <w:sz w:val="15"/>
          <w:szCs w:val="15"/>
          <w:shd w:val="clear" w:fill="FFFFFF"/>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速率和 PHY M/S模式支持手动及自动配置</w:t>
      </w:r>
      <w:r>
        <w:rPr>
          <w:rFonts w:hint="eastAsia" w:ascii="微软雅黑" w:hAnsi="微软雅黑" w:eastAsia="微软雅黑" w:cs="微软雅黑"/>
          <w:i w:val="0"/>
          <w:iCs w:val="0"/>
          <w:caps w:val="0"/>
          <w:color w:val="191B1F"/>
          <w:spacing w:val="0"/>
          <w:sz w:val="15"/>
          <w:szCs w:val="15"/>
          <w:shd w:val="clear" w:fill="FFFFFF"/>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5.5mm标准圆口供电</w:t>
      </w:r>
      <w:r>
        <w:rPr>
          <w:rFonts w:hint="eastAsia" w:ascii="微软雅黑" w:hAnsi="微软雅黑" w:eastAsia="微软雅黑" w:cs="微软雅黑"/>
          <w:i w:val="0"/>
          <w:iCs w:val="0"/>
          <w:caps w:val="0"/>
          <w:color w:val="191B1F"/>
          <w:spacing w:val="0"/>
          <w:sz w:val="15"/>
          <w:szCs w:val="15"/>
          <w:shd w:val="clear" w:fill="FFFFFF"/>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电源指示灯及link状态和数据收发指示灯</w:t>
      </w:r>
    </w:p>
    <w:p>
      <w:pPr>
        <w:keepNext w:val="0"/>
        <w:keepLines w:val="0"/>
        <w:pageBreakBefore w:val="0"/>
        <w:widowControl w:val="0"/>
        <w:numPr>
          <w:ilvl w:val="0"/>
          <w:numId w:val="0"/>
        </w:numPr>
        <w:kinsoku/>
        <w:wordWrap/>
        <w:overflowPunct/>
        <w:topLinePunct w:val="0"/>
        <w:autoSpaceDE/>
        <w:autoSpaceDN/>
        <w:bidi w:val="0"/>
        <w:adjustRightInd/>
        <w:snapToGrid/>
        <w:ind w:firstLine="320" w:firstLineChars="200"/>
        <w:textAlignment w:val="auto"/>
        <w:rPr>
          <w:rFonts w:hint="default" w:ascii="微软雅黑" w:hAnsi="微软雅黑" w:eastAsia="微软雅黑" w:cs="微软雅黑"/>
          <w:i w:val="0"/>
          <w:iCs w:val="0"/>
          <w:caps w:val="0"/>
          <w:color w:val="191B1F"/>
          <w:spacing w:val="0"/>
          <w:sz w:val="16"/>
          <w:szCs w:val="16"/>
          <w:shd w:val="clear"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360" w:firstLineChars="200"/>
        <w:textAlignment w:val="auto"/>
        <w:rPr>
          <w:rFonts w:hint="eastAsia" w:ascii="微软雅黑" w:hAnsi="微软雅黑" w:eastAsia="微软雅黑" w:cs="微软雅黑"/>
          <w:b/>
          <w:bCs/>
          <w:i w:val="0"/>
          <w:iCs w:val="0"/>
          <w:caps w:val="0"/>
          <w:color w:val="191B1F"/>
          <w:spacing w:val="0"/>
          <w:sz w:val="18"/>
          <w:szCs w:val="18"/>
          <w:shd w:val="clear" w:fill="FFFFFF"/>
          <w:lang w:val="en-US" w:eastAsia="zh-CN"/>
        </w:rPr>
      </w:pPr>
      <w:r>
        <w:rPr>
          <w:rFonts w:hint="eastAsia" w:ascii="微软雅黑" w:hAnsi="微软雅黑" w:eastAsia="微软雅黑" w:cs="微软雅黑"/>
          <w:b/>
          <w:bCs/>
          <w:i w:val="0"/>
          <w:iCs w:val="0"/>
          <w:caps w:val="0"/>
          <w:color w:val="191B1F"/>
          <w:spacing w:val="0"/>
          <w:sz w:val="18"/>
          <w:szCs w:val="18"/>
          <w:shd w:val="clear" w:fill="FFFFFF"/>
          <w:lang w:val="en-US" w:eastAsia="zh-CN"/>
        </w:rPr>
        <w:t>优势总览：</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default"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 xml:space="preserve">100M 与1000M速率自适配 </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default"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 xml:space="preserve">PHY Master/Slave 模式自适配 </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default"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 xml:space="preserve">T1接口采用NTHBR11A1001SR车载以太网连接器 </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default"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即插即用，操作简便</w:t>
      </w:r>
    </w:p>
    <w:p>
      <w:pPr>
        <w:numPr>
          <w:ilvl w:val="0"/>
          <w:numId w:val="1"/>
        </w:numPr>
        <w:tabs>
          <w:tab w:val="left" w:pos="251"/>
        </w:tabs>
        <w:ind w:left="420" w:leftChars="0" w:hanging="420" w:firstLineChars="0"/>
        <w:rPr>
          <w:rFonts w:hint="eastAsia" w:ascii="微软雅黑" w:hAnsi="微软雅黑" w:eastAsia="微软雅黑" w:cs="微软雅黑"/>
          <w:i w:val="0"/>
          <w:iCs w:val="0"/>
          <w:caps w:val="0"/>
          <w:color w:val="191B1F"/>
          <w:spacing w:val="0"/>
          <w:sz w:val="18"/>
          <w:szCs w:val="18"/>
          <w:shd w:val="clear" w:fill="FFFFFF"/>
        </w:rPr>
      </w:pPr>
      <w:r>
        <w:rPr>
          <w:rFonts w:hint="eastAsia" w:ascii="微软雅黑" w:hAnsi="微软雅黑" w:eastAsia="微软雅黑" w:cs="微软雅黑"/>
          <w:i w:val="0"/>
          <w:iCs w:val="0"/>
          <w:caps w:val="0"/>
          <w:color w:val="191B1F"/>
          <w:spacing w:val="0"/>
          <w:sz w:val="18"/>
          <w:szCs w:val="18"/>
          <w:shd w:val="clear" w:fill="FFFFFF"/>
          <w:lang w:val="en-US" w:eastAsia="zh-CN"/>
        </w:rPr>
        <w:tab/>
      </w:r>
      <w:r>
        <w:rPr>
          <w:rFonts w:hint="eastAsia" w:ascii="微软雅黑" w:hAnsi="微软雅黑" w:eastAsia="微软雅黑" w:cs="微软雅黑"/>
          <w:i w:val="0"/>
          <w:iCs w:val="0"/>
          <w:caps w:val="0"/>
          <w:color w:val="191B1F"/>
          <w:spacing w:val="0"/>
          <w:sz w:val="18"/>
          <w:szCs w:val="18"/>
          <w:shd w:val="clear" w:fill="FFFFFF"/>
          <w:lang w:val="en-US" w:eastAsia="zh-CN"/>
        </w:rPr>
        <w:t>FTT1-1000</w:t>
      </w:r>
    </w:p>
    <w:p>
      <w:pPr>
        <w:keepNext w:val="0"/>
        <w:keepLines w:val="0"/>
        <w:pageBreakBefore w:val="0"/>
        <w:widowControl w:val="0"/>
        <w:numPr>
          <w:ilvl w:val="0"/>
          <w:numId w:val="0"/>
        </w:numPr>
        <w:kinsoku/>
        <w:wordWrap/>
        <w:overflowPunct/>
        <w:topLinePunct w:val="0"/>
        <w:autoSpaceDE/>
        <w:autoSpaceDN/>
        <w:bidi w:val="0"/>
        <w:adjustRightInd/>
        <w:snapToGrid/>
        <w:ind w:firstLine="300" w:firstLineChars="200"/>
        <w:textAlignment w:val="auto"/>
        <w:rPr>
          <w:rFonts w:hint="default" w:ascii="微软雅黑" w:hAnsi="微软雅黑" w:eastAsia="微软雅黑" w:cs="微软雅黑"/>
          <w:i w:val="0"/>
          <w:iCs w:val="0"/>
          <w:caps w:val="0"/>
          <w:color w:val="191B1F"/>
          <w:spacing w:val="0"/>
          <w:sz w:val="15"/>
          <w:szCs w:val="15"/>
          <w:shd w:val="clear" w:fill="FFFFFF"/>
          <w:lang w:val="en-US" w:eastAsia="zh-CN"/>
        </w:rPr>
      </w:pPr>
      <w:r>
        <w:rPr>
          <w:rFonts w:hint="eastAsia" w:ascii="微软雅黑" w:hAnsi="微软雅黑" w:eastAsia="微软雅黑" w:cs="微软雅黑"/>
          <w:i w:val="0"/>
          <w:iCs w:val="0"/>
          <w:caps w:val="0"/>
          <w:color w:val="191B1F"/>
          <w:spacing w:val="0"/>
          <w:sz w:val="15"/>
          <w:szCs w:val="15"/>
          <w:shd w:val="clear" w:fill="FFFFFF"/>
          <w:lang w:val="en-US" w:eastAsia="zh-CN"/>
        </w:rPr>
        <w:t>FTT1-1000 是一种车载以太网接口转换模块，支持SFP（接</w:t>
      </w:r>
      <w:r>
        <w:rPr>
          <w:rFonts w:hint="default" w:ascii="微软雅黑" w:hAnsi="微软雅黑" w:eastAsia="微软雅黑" w:cs="微软雅黑"/>
          <w:i w:val="0"/>
          <w:iCs w:val="0"/>
          <w:caps w:val="0"/>
          <w:color w:val="191B1F"/>
          <w:spacing w:val="0"/>
          <w:sz w:val="15"/>
          <w:szCs w:val="15"/>
          <w:shd w:val="clear" w:fill="FFFFFF"/>
          <w:lang w:val="en-US" w:eastAsia="zh-CN"/>
        </w:rPr>
        <w:t>口） 与 100BaseT1/1000Base-T1 接口相互转换，实现车载以太网 ECU 与 PC 机之间的正常通信。</w:t>
      </w:r>
    </w:p>
    <w:p>
      <w:pPr>
        <w:keepNext w:val="0"/>
        <w:keepLines w:val="0"/>
        <w:pageBreakBefore w:val="0"/>
        <w:widowControl w:val="0"/>
        <w:numPr>
          <w:ilvl w:val="0"/>
          <w:numId w:val="0"/>
        </w:numPr>
        <w:kinsoku/>
        <w:wordWrap/>
        <w:overflowPunct/>
        <w:topLinePunct w:val="0"/>
        <w:autoSpaceDE/>
        <w:autoSpaceDN/>
        <w:bidi w:val="0"/>
        <w:adjustRightInd/>
        <w:snapToGrid/>
        <w:ind w:firstLine="300" w:firstLineChars="200"/>
        <w:textAlignment w:val="auto"/>
        <w:rPr>
          <w:rFonts w:hint="default"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drawing>
          <wp:inline distT="0" distB="0" distL="114300" distR="114300">
            <wp:extent cx="3885565" cy="1943100"/>
            <wp:effectExtent l="0" t="0" r="0" b="0"/>
            <wp:docPr id="36" name="图片 36"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3"/>
                    <pic:cNvPicPr>
                      <a:picLocks noChangeAspect="1"/>
                    </pic:cNvPicPr>
                  </pic:nvPicPr>
                  <pic:blipFill>
                    <a:blip r:embed="rId8"/>
                    <a:stretch>
                      <a:fillRect/>
                    </a:stretch>
                  </pic:blipFill>
                  <pic:spPr>
                    <a:xfrm>
                      <a:off x="0" y="0"/>
                      <a:ext cx="3885565" cy="19431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300" w:firstLineChars="200"/>
        <w:textAlignment w:val="auto"/>
        <w:rPr>
          <w:rFonts w:hint="default" w:ascii="微软雅黑" w:hAnsi="微软雅黑" w:eastAsia="微软雅黑" w:cs="微软雅黑"/>
          <w:i w:val="0"/>
          <w:iCs w:val="0"/>
          <w:caps w:val="0"/>
          <w:color w:val="191B1F"/>
          <w:spacing w:val="0"/>
          <w:sz w:val="15"/>
          <w:szCs w:val="15"/>
          <w:shd w:val="clear" w:fill="FFFFFF"/>
          <w:lang w:val="en-US" w:eastAsia="zh-CN"/>
        </w:rPr>
      </w:pPr>
    </w:p>
    <w:p>
      <w:pPr>
        <w:bidi w:val="0"/>
        <w:jc w:val="center"/>
        <w:rPr>
          <w:rFonts w:hint="default" w:asciiTheme="minorHAnsi" w:hAnsiTheme="minorHAnsi" w:eastAsiaTheme="minorEastAsia" w:cstheme="minorBidi"/>
          <w:kern w:val="2"/>
          <w:sz w:val="21"/>
          <w:szCs w:val="24"/>
          <w:lang w:val="en-US" w:eastAsia="zh-CN" w:bidi="ar-SA"/>
        </w:rPr>
      </w:pPr>
      <w:r>
        <w:rPr>
          <w:rFonts w:hint="default"/>
          <w:sz w:val="13"/>
          <w:szCs w:val="16"/>
          <w:lang w:val="en-US" w:eastAsia="zh-CN"/>
        </w:rPr>
        <w:drawing>
          <wp:anchor distT="0" distB="0" distL="114300" distR="114300" simplePos="0" relativeHeight="251660288" behindDoc="1" locked="0" layoutInCell="1" allowOverlap="1">
            <wp:simplePos x="0" y="0"/>
            <wp:positionH relativeFrom="column">
              <wp:posOffset>483870</wp:posOffset>
            </wp:positionH>
            <wp:positionV relativeFrom="paragraph">
              <wp:posOffset>306705</wp:posOffset>
            </wp:positionV>
            <wp:extent cx="1625600" cy="965835"/>
            <wp:effectExtent l="0" t="0" r="0" b="0"/>
            <wp:wrapNone/>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9"/>
                    <a:stretch>
                      <a:fillRect/>
                    </a:stretch>
                  </pic:blipFill>
                  <pic:spPr>
                    <a:xfrm>
                      <a:off x="0" y="0"/>
                      <a:ext cx="1625600" cy="965835"/>
                    </a:xfrm>
                    <a:prstGeom prst="rect">
                      <a:avLst/>
                    </a:prstGeom>
                    <a:ln>
                      <a:noFill/>
                    </a:ln>
                  </pic:spPr>
                </pic:pic>
              </a:graphicData>
            </a:graphic>
          </wp:anchor>
        </w:drawing>
      </w:r>
      <w:r>
        <w:rPr>
          <w:rFonts w:hint="default"/>
          <w:sz w:val="13"/>
          <w:szCs w:val="16"/>
          <w:lang w:val="en-US" w:eastAsia="zh-CN"/>
        </w:rPr>
        <w:drawing>
          <wp:anchor distT="0" distB="0" distL="114300" distR="114300" simplePos="0" relativeHeight="251659264" behindDoc="1" locked="0" layoutInCell="1" allowOverlap="1">
            <wp:simplePos x="0" y="0"/>
            <wp:positionH relativeFrom="column">
              <wp:posOffset>-52705</wp:posOffset>
            </wp:positionH>
            <wp:positionV relativeFrom="paragraph">
              <wp:posOffset>307975</wp:posOffset>
            </wp:positionV>
            <wp:extent cx="1276985" cy="876935"/>
            <wp:effectExtent l="0" t="0" r="3175" b="6985"/>
            <wp:wrapThrough wrapText="bothSides">
              <wp:wrapPolygon>
                <wp:start x="0" y="0"/>
                <wp:lineTo x="0" y="21397"/>
                <wp:lineTo x="21396" y="21397"/>
                <wp:lineTo x="21396" y="0"/>
                <wp:lineTo x="0" y="0"/>
              </wp:wrapPolygon>
            </wp:wrapThrough>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10"/>
                    <a:stretch>
                      <a:fillRect/>
                    </a:stretch>
                  </pic:blipFill>
                  <pic:spPr>
                    <a:xfrm>
                      <a:off x="0" y="0"/>
                      <a:ext cx="1276985" cy="876935"/>
                    </a:xfrm>
                    <a:prstGeom prst="rect">
                      <a:avLst/>
                    </a:prstGeom>
                  </pic:spPr>
                </pic:pic>
              </a:graphicData>
            </a:graphic>
          </wp:anchor>
        </w:drawing>
      </w:r>
      <w:r>
        <w:rPr>
          <w:rFonts w:hint="eastAsia"/>
          <w:sz w:val="13"/>
          <w:szCs w:val="16"/>
          <w:lang w:val="en-US" w:eastAsia="zh-CN"/>
        </w:rPr>
        <w:t xml:space="preserve">                                               </w:t>
      </w:r>
      <w:r>
        <w:rPr>
          <w:rFonts w:hint="default"/>
          <w:lang w:val="en-US" w:eastAsia="zh-CN"/>
        </w:rPr>
        <w:drawing>
          <wp:inline distT="0" distB="0" distL="114300" distR="114300">
            <wp:extent cx="1247140" cy="1543050"/>
            <wp:effectExtent l="0" t="0" r="10160" b="0"/>
            <wp:docPr id="7" name="图片 7" descr="5"/>
            <wp:cNvGraphicFramePr/>
            <a:graphic xmlns:a="http://schemas.openxmlformats.org/drawingml/2006/main">
              <a:graphicData uri="http://schemas.openxmlformats.org/drawingml/2006/picture">
                <pic:pic xmlns:pic="http://schemas.openxmlformats.org/drawingml/2006/picture">
                  <pic:nvPicPr>
                    <pic:cNvPr id="7" name="图片 7" descr="5"/>
                    <pic:cNvPicPr/>
                  </pic:nvPicPr>
                  <pic:blipFill>
                    <a:blip r:embed="rId11"/>
                    <a:stretch>
                      <a:fillRect/>
                    </a:stretch>
                  </pic:blipFill>
                  <pic:spPr>
                    <a:xfrm>
                      <a:off x="0" y="0"/>
                      <a:ext cx="1247140" cy="1543050"/>
                    </a:xfrm>
                    <a:prstGeom prst="rect">
                      <a:avLst/>
                    </a:prstGeom>
                  </pic:spPr>
                </pic:pic>
              </a:graphicData>
            </a:graphic>
          </wp:inline>
        </w:drawing>
      </w:r>
    </w:p>
    <w:p>
      <w:pPr>
        <w:bidi w:val="0"/>
        <w:jc w:val="center"/>
        <w:rPr>
          <w:rFonts w:hint="eastAsia" w:ascii="微软雅黑" w:hAnsi="微软雅黑" w:eastAsia="微软雅黑" w:cs="微软雅黑"/>
          <w:i w:val="0"/>
          <w:iCs w:val="0"/>
          <w:caps w:val="0"/>
          <w:color w:val="191B1F"/>
          <w:spacing w:val="0"/>
          <w:sz w:val="11"/>
          <w:szCs w:val="11"/>
          <w:shd w:val="clear" w:fill="FFFFFF"/>
          <w:lang w:val="en-US" w:eastAsia="zh-CN"/>
        </w:rPr>
      </w:pPr>
      <w:r>
        <w:rPr>
          <w:rFonts w:hint="eastAsia" w:ascii="微软雅黑" w:hAnsi="微软雅黑" w:eastAsia="微软雅黑" w:cs="微软雅黑"/>
          <w:i w:val="0"/>
          <w:iCs w:val="0"/>
          <w:caps w:val="0"/>
          <w:color w:val="191B1F"/>
          <w:spacing w:val="0"/>
          <w:sz w:val="11"/>
          <w:szCs w:val="11"/>
          <w:shd w:val="clear" w:fill="FFFFFF"/>
          <w:lang w:val="en-US" w:eastAsia="zh-CN"/>
        </w:rPr>
        <w:t>图1 FTT1-1000模块实物图</w:t>
      </w:r>
    </w:p>
    <w:p>
      <w:pPr>
        <w:keepNext w:val="0"/>
        <w:keepLines w:val="0"/>
        <w:pageBreakBefore w:val="0"/>
        <w:widowControl w:val="0"/>
        <w:numPr>
          <w:ilvl w:val="0"/>
          <w:numId w:val="0"/>
        </w:numPr>
        <w:kinsoku/>
        <w:wordWrap/>
        <w:overflowPunct/>
        <w:topLinePunct w:val="0"/>
        <w:autoSpaceDE/>
        <w:autoSpaceDN/>
        <w:bidi w:val="0"/>
        <w:adjustRightInd/>
        <w:snapToGrid/>
        <w:ind w:firstLine="360" w:firstLineChars="200"/>
        <w:textAlignment w:val="auto"/>
        <w:rPr>
          <w:rFonts w:hint="default" w:ascii="微软雅黑" w:hAnsi="微软雅黑" w:eastAsia="微软雅黑" w:cs="微软雅黑"/>
          <w:b/>
          <w:bCs/>
          <w:i w:val="0"/>
          <w:iCs w:val="0"/>
          <w:caps w:val="0"/>
          <w:color w:val="191B1F"/>
          <w:spacing w:val="0"/>
          <w:sz w:val="18"/>
          <w:szCs w:val="18"/>
          <w:shd w:val="clear" w:fill="FFFFFF"/>
          <w:lang w:val="en-US" w:eastAsia="zh-CN"/>
        </w:rPr>
      </w:pPr>
      <w:r>
        <w:rPr>
          <w:rFonts w:hint="eastAsia" w:ascii="微软雅黑" w:hAnsi="微软雅黑" w:eastAsia="微软雅黑" w:cs="微软雅黑"/>
          <w:b/>
          <w:bCs/>
          <w:i w:val="0"/>
          <w:iCs w:val="0"/>
          <w:caps w:val="0"/>
          <w:color w:val="191B1F"/>
          <w:spacing w:val="0"/>
          <w:sz w:val="18"/>
          <w:szCs w:val="18"/>
          <w:shd w:val="clear" w:fill="FFFFFF"/>
          <w:lang w:val="en-US" w:eastAsia="zh-CN"/>
        </w:rPr>
        <w:t>功能介绍：</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rFonts w:hint="eastAsia" w:ascii="微软雅黑" w:hAnsi="微软雅黑" w:eastAsia="微软雅黑" w:cs="微软雅黑"/>
          <w:i w:val="0"/>
          <w:iCs w:val="0"/>
          <w:caps w:val="0"/>
          <w:color w:val="191B1F"/>
          <w:spacing w:val="0"/>
          <w:sz w:val="15"/>
          <w:szCs w:val="15"/>
          <w:shd w:val="clear" w:fill="FFFFFF"/>
          <w:lang w:val="en-US" w:eastAsia="zh-CN"/>
        </w:rPr>
        <w:t>支持SFP与1000Base-T1 接口互转 or 支持；</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SFP接口 与 100Base-T1 接口互转</w:t>
      </w:r>
      <w:r>
        <w:rPr>
          <w:rFonts w:hint="eastAsia" w:ascii="微软雅黑" w:hAnsi="微软雅黑" w:eastAsia="微软雅黑" w:cs="微软雅黑"/>
          <w:i w:val="0"/>
          <w:iCs w:val="0"/>
          <w:caps w:val="0"/>
          <w:color w:val="191B1F"/>
          <w:spacing w:val="0"/>
          <w:sz w:val="15"/>
          <w:szCs w:val="15"/>
          <w:shd w:val="clear" w:fill="FFFFFF"/>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速率受host的限制（通过软件界面配置）</w:t>
      </w:r>
      <w:r>
        <w:rPr>
          <w:rFonts w:hint="eastAsia" w:ascii="微软雅黑" w:hAnsi="微软雅黑" w:eastAsia="微软雅黑" w:cs="微软雅黑"/>
          <w:i w:val="0"/>
          <w:iCs w:val="0"/>
          <w:caps w:val="0"/>
          <w:color w:val="191B1F"/>
          <w:spacing w:val="0"/>
          <w:sz w:val="15"/>
          <w:szCs w:val="15"/>
          <w:shd w:val="clear" w:fill="FFFFFF"/>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本模块Master/Slave 模式软件界面设置</w:t>
      </w:r>
      <w:r>
        <w:rPr>
          <w:rFonts w:hint="eastAsia" w:ascii="微软雅黑" w:hAnsi="微软雅黑" w:eastAsia="微软雅黑" w:cs="微软雅黑"/>
          <w:i w:val="0"/>
          <w:iCs w:val="0"/>
          <w:caps w:val="0"/>
          <w:color w:val="191B1F"/>
          <w:spacing w:val="0"/>
          <w:sz w:val="15"/>
          <w:szCs w:val="15"/>
          <w:shd w:val="clear" w:fill="FFFFFF"/>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PHY 工作状态指示灯闪烁指示接口有数据收发</w:t>
      </w:r>
      <w:r>
        <w:rPr>
          <w:rFonts w:hint="eastAsia" w:ascii="微软雅黑" w:hAnsi="微软雅黑" w:eastAsia="微软雅黑" w:cs="微软雅黑"/>
          <w:i w:val="0"/>
          <w:iCs w:val="0"/>
          <w:caps w:val="0"/>
          <w:color w:val="191B1F"/>
          <w:spacing w:val="0"/>
          <w:sz w:val="15"/>
          <w:szCs w:val="15"/>
          <w:shd w:val="clear" w:fill="FFFFFF"/>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default" w:ascii="微软雅黑" w:hAnsi="微软雅黑" w:eastAsia="微软雅黑" w:cs="微软雅黑"/>
          <w:i w:val="0"/>
          <w:iCs w:val="0"/>
          <w:caps w:val="0"/>
          <w:color w:val="191B1F"/>
          <w:spacing w:val="0"/>
          <w:sz w:val="13"/>
          <w:szCs w:val="13"/>
          <w:shd w:val="clear"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360" w:firstLineChars="200"/>
        <w:textAlignment w:val="auto"/>
        <w:rPr>
          <w:rFonts w:hint="eastAsia" w:ascii="微软雅黑" w:hAnsi="微软雅黑" w:eastAsia="微软雅黑" w:cs="微软雅黑"/>
          <w:b/>
          <w:bCs/>
          <w:i w:val="0"/>
          <w:iCs w:val="0"/>
          <w:caps w:val="0"/>
          <w:color w:val="191B1F"/>
          <w:spacing w:val="0"/>
          <w:sz w:val="18"/>
          <w:szCs w:val="18"/>
          <w:shd w:val="clear" w:fill="FFFFFF"/>
          <w:lang w:val="en-US" w:eastAsia="zh-CN"/>
        </w:rPr>
      </w:pPr>
      <w:r>
        <w:rPr>
          <w:rFonts w:hint="eastAsia" w:ascii="微软雅黑" w:hAnsi="微软雅黑" w:eastAsia="微软雅黑" w:cs="微软雅黑"/>
          <w:b/>
          <w:bCs/>
          <w:i w:val="0"/>
          <w:iCs w:val="0"/>
          <w:caps w:val="0"/>
          <w:color w:val="191B1F"/>
          <w:spacing w:val="0"/>
          <w:sz w:val="18"/>
          <w:szCs w:val="18"/>
          <w:shd w:val="clear" w:fill="FFFFFF"/>
          <w:lang w:val="en-US" w:eastAsia="zh-CN"/>
        </w:rPr>
        <w:t>优势总览：</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rFonts w:hint="eastAsia" w:ascii="微软雅黑" w:hAnsi="微软雅黑" w:eastAsia="微软雅黑" w:cs="微软雅黑"/>
          <w:i w:val="0"/>
          <w:iCs w:val="0"/>
          <w:caps w:val="0"/>
          <w:color w:val="191B1F"/>
          <w:spacing w:val="0"/>
          <w:sz w:val="15"/>
          <w:szCs w:val="15"/>
          <w:shd w:val="clear" w:fill="FFFFFF"/>
          <w:lang w:val="en-US" w:eastAsia="zh-CN"/>
        </w:rPr>
        <w:t>模块对外通信速率由host的速率决定：</w:t>
      </w:r>
      <w:r>
        <w:rPr>
          <w:rFonts w:hint="default" w:ascii="微软雅黑" w:hAnsi="微软雅黑" w:eastAsia="微软雅黑" w:cs="微软雅黑"/>
          <w:i w:val="0"/>
          <w:iCs w:val="0"/>
          <w:caps w:val="0"/>
          <w:color w:val="191B1F"/>
          <w:spacing w:val="0"/>
          <w:sz w:val="15"/>
          <w:szCs w:val="15"/>
          <w:shd w:val="clear" w:fill="FFFFFF"/>
          <w:lang w:val="en-US" w:eastAsia="zh-CN"/>
        </w:rPr>
        <w:t>(本模块支持100M速率和1000M速率两种模式)</w:t>
      </w:r>
      <w:r>
        <w:rPr>
          <w:rFonts w:hint="eastAsia" w:ascii="微软雅黑" w:hAnsi="微软雅黑" w:eastAsia="微软雅黑" w:cs="微软雅黑"/>
          <w:i w:val="0"/>
          <w:iCs w:val="0"/>
          <w:caps w:val="0"/>
          <w:color w:val="191B1F"/>
          <w:spacing w:val="0"/>
          <w:sz w:val="15"/>
          <w:szCs w:val="15"/>
          <w:shd w:val="clear" w:fill="FFFFFF"/>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host工作在1000M模式时-需将本模块配置为1000M模式（软件界面设置</w:t>
      </w:r>
      <w:r>
        <w:rPr>
          <w:rFonts w:hint="eastAsia" w:ascii="微软雅黑" w:hAnsi="微软雅黑" w:eastAsia="微软雅黑" w:cs="微软雅黑"/>
          <w:i w:val="0"/>
          <w:iCs w:val="0"/>
          <w:caps w:val="0"/>
          <w:color w:val="191B1F"/>
          <w:spacing w:val="0"/>
          <w:sz w:val="15"/>
          <w:szCs w:val="15"/>
          <w:shd w:val="clear" w:fill="FFFFFF"/>
          <w:lang w:val="en-US" w:eastAsia="zh-CN"/>
        </w:rPr>
        <w:t>）；</w:t>
      </w:r>
      <w:bookmarkStart w:id="0" w:name="_GoBack"/>
      <w:bookmarkEnd w:id="0"/>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host工作在100M模式时-需将本模块配置为100M</w:t>
      </w:r>
      <w:r>
        <w:rPr>
          <w:rFonts w:hint="eastAsia" w:ascii="微软雅黑" w:hAnsi="微软雅黑" w:eastAsia="微软雅黑" w:cs="微软雅黑"/>
          <w:i w:val="0"/>
          <w:iCs w:val="0"/>
          <w:caps w:val="0"/>
          <w:color w:val="191B1F"/>
          <w:spacing w:val="0"/>
          <w:sz w:val="15"/>
          <w:szCs w:val="15"/>
          <w:shd w:val="clear" w:fill="FFFFFF"/>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模式（软件界面设置）</w:t>
      </w:r>
      <w:r>
        <w:rPr>
          <w:rFonts w:hint="eastAsia" w:ascii="微软雅黑" w:hAnsi="微软雅黑" w:eastAsia="微软雅黑" w:cs="微软雅黑"/>
          <w:i w:val="0"/>
          <w:iCs w:val="0"/>
          <w:caps w:val="0"/>
          <w:color w:val="191B1F"/>
          <w:spacing w:val="0"/>
          <w:sz w:val="15"/>
          <w:szCs w:val="15"/>
          <w:shd w:val="clear" w:fill="FFFFFF"/>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本模块的Master/Slave 方式通过软件界面设置；</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eastAsia" w:ascii="微软雅黑" w:hAnsi="微软雅黑" w:eastAsia="微软雅黑" w:cs="微软雅黑"/>
          <w:i w:val="0"/>
          <w:iCs w:val="0"/>
          <w:caps w:val="0"/>
          <w:color w:val="191B1F"/>
          <w:spacing w:val="0"/>
          <w:sz w:val="21"/>
          <w:szCs w:val="21"/>
          <w:shd w:val="clear" w:fill="FFFFFF"/>
        </w:rPr>
      </w:pPr>
      <w:r>
        <w:rPr>
          <w:rFonts w:hint="default" w:ascii="微软雅黑" w:hAnsi="微软雅黑" w:eastAsia="微软雅黑" w:cs="微软雅黑"/>
          <w:i w:val="0"/>
          <w:iCs w:val="0"/>
          <w:caps w:val="0"/>
          <w:color w:val="191B1F"/>
          <w:spacing w:val="0"/>
          <w:sz w:val="15"/>
          <w:szCs w:val="15"/>
          <w:shd w:val="clear" w:fill="FFFFFF"/>
          <w:lang w:val="en-US" w:eastAsia="zh-CN"/>
        </w:rPr>
        <w:t>即插即用，操作简便</w:t>
      </w:r>
    </w:p>
    <w:p>
      <w:pPr>
        <w:numPr>
          <w:ilvl w:val="0"/>
          <w:numId w:val="0"/>
        </w:numPr>
        <w:ind w:leftChars="0"/>
        <w:jc w:val="center"/>
        <w:rPr>
          <w:rFonts w:hint="default"/>
          <w:b/>
          <w:bCs/>
          <w:lang w:val="en-US" w:eastAsia="zh-CN"/>
        </w:rPr>
      </w:pPr>
      <w:r>
        <w:rPr>
          <w:rFonts w:hint="default"/>
          <w:b/>
          <w:bCs/>
          <w:lang w:val="en-US" w:eastAsia="zh-CN"/>
        </w:rPr>
        <w:drawing>
          <wp:inline distT="0" distB="0" distL="114300" distR="114300">
            <wp:extent cx="1483995" cy="8827135"/>
            <wp:effectExtent l="0" t="0" r="1905" b="12065"/>
            <wp:docPr id="32" name="图片 32" descr="车载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车载V5"/>
                    <pic:cNvPicPr>
                      <a:picLocks noChangeAspect="1"/>
                    </pic:cNvPicPr>
                  </pic:nvPicPr>
                  <pic:blipFill>
                    <a:blip r:embed="rId12"/>
                    <a:stretch>
                      <a:fillRect/>
                    </a:stretch>
                  </pic:blipFill>
                  <pic:spPr>
                    <a:xfrm>
                      <a:off x="0" y="0"/>
                      <a:ext cx="1483995" cy="8827135"/>
                    </a:xfrm>
                    <a:prstGeom prst="rect">
                      <a:avLst/>
                    </a:prstGeom>
                  </pic:spPr>
                </pic:pic>
              </a:graphicData>
            </a:graphic>
          </wp:inline>
        </w:drawing>
      </w:r>
    </w:p>
    <w:p>
      <w:pPr>
        <w:numPr>
          <w:ilvl w:val="0"/>
          <w:numId w:val="0"/>
        </w:numPr>
        <w:ind w:leftChars="0"/>
        <w:rPr>
          <w:rFonts w:hint="default"/>
          <w:b/>
          <w:bCs/>
          <w:lang w:val="en-US" w:eastAsia="zh-CN"/>
        </w:rPr>
      </w:pPr>
    </w:p>
    <w:p>
      <w:pPr>
        <w:rPr>
          <w:rFonts w:hint="default"/>
          <w:b/>
          <w:bCs/>
          <w:highlight w:val="none"/>
          <w:lang w:val="en-US" w:eastAsia="zh-CN"/>
        </w:rPr>
      </w:pPr>
      <w:r>
        <w:rPr>
          <w:rFonts w:hint="eastAsia"/>
          <w:b/>
          <w:bCs/>
          <w:highlight w:val="none"/>
          <w:lang w:val="en-US" w:eastAsia="zh-CN"/>
        </w:rPr>
        <w:t>配合信而泰车载以太网测试解决方案让车联网测试更简单</w:t>
      </w:r>
    </w:p>
    <w:p>
      <w:pPr>
        <w:rPr>
          <w:rFonts w:hint="eastAsia"/>
          <w:b/>
          <w:bCs/>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300" w:firstLineChars="200"/>
        <w:textAlignment w:val="auto"/>
        <w:rPr>
          <w:rFonts w:hint="default" w:ascii="微软雅黑" w:hAnsi="微软雅黑" w:eastAsia="微软雅黑" w:cs="微软雅黑"/>
          <w:i w:val="0"/>
          <w:iCs w:val="0"/>
          <w:caps w:val="0"/>
          <w:color w:val="191B1F"/>
          <w:spacing w:val="0"/>
          <w:sz w:val="15"/>
          <w:szCs w:val="15"/>
          <w:shd w:val="clear" w:fill="FFFFFF"/>
          <w:lang w:val="en-US" w:eastAsia="zh-CN"/>
        </w:rPr>
      </w:pPr>
      <w:r>
        <w:rPr>
          <w:rFonts w:hint="eastAsia" w:ascii="微软雅黑" w:hAnsi="微软雅黑" w:eastAsia="微软雅黑" w:cs="微软雅黑"/>
          <w:i w:val="0"/>
          <w:iCs w:val="0"/>
          <w:caps w:val="0"/>
          <w:color w:val="191B1F"/>
          <w:spacing w:val="0"/>
          <w:sz w:val="15"/>
          <w:szCs w:val="15"/>
          <w:shd w:val="clear" w:fill="FFFFFF"/>
          <w:lang w:val="en-US" w:eastAsia="zh-CN"/>
        </w:rPr>
        <w:t>时间敏感网络 (TSN)具备大带宽、通用以太协议及精准网络KPI控制的技术优势，可满足工业网络日益数字化、智能化的技术需</w:t>
      </w:r>
      <w:r>
        <w:rPr>
          <w:rFonts w:hint="default" w:ascii="微软雅黑" w:hAnsi="微软雅黑" w:eastAsia="微软雅黑" w:cs="微软雅黑"/>
          <w:i w:val="0"/>
          <w:iCs w:val="0"/>
          <w:caps w:val="0"/>
          <w:color w:val="191B1F"/>
          <w:spacing w:val="0"/>
          <w:sz w:val="15"/>
          <w:szCs w:val="15"/>
          <w:shd w:val="clear" w:fill="FFFFFF"/>
          <w:lang w:val="en-US" w:eastAsia="zh-CN"/>
        </w:rPr>
        <w:t>求。TSN作为下一代工业网络技术演进方向已经在业内形成共识。而任何一种技术的成熟和广泛采用，一个强大而专业的测试工具必不可少。</w:t>
      </w:r>
    </w:p>
    <w:p>
      <w:pPr>
        <w:keepNext w:val="0"/>
        <w:keepLines w:val="0"/>
        <w:pageBreakBefore w:val="0"/>
        <w:widowControl w:val="0"/>
        <w:numPr>
          <w:ilvl w:val="0"/>
          <w:numId w:val="0"/>
        </w:numPr>
        <w:kinsoku/>
        <w:wordWrap/>
        <w:overflowPunct/>
        <w:topLinePunct w:val="0"/>
        <w:autoSpaceDE/>
        <w:autoSpaceDN/>
        <w:bidi w:val="0"/>
        <w:adjustRightInd/>
        <w:snapToGrid/>
        <w:ind w:firstLine="300" w:firstLineChars="200"/>
        <w:textAlignment w:val="auto"/>
        <w:rPr>
          <w:rFonts w:hint="default"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信而泰TSN测试仪板卡</w:t>
      </w:r>
      <w:r>
        <w:rPr>
          <w:rFonts w:hint="eastAsia" w:ascii="微软雅黑" w:hAnsi="微软雅黑" w:eastAsia="微软雅黑" w:cs="微软雅黑"/>
          <w:i w:val="0"/>
          <w:iCs w:val="0"/>
          <w:caps w:val="0"/>
          <w:color w:val="191B1F"/>
          <w:spacing w:val="0"/>
          <w:sz w:val="15"/>
          <w:szCs w:val="15"/>
          <w:shd w:val="clear" w:fill="FFFFFF"/>
          <w:lang w:val="en-US" w:eastAsia="zh-CN"/>
        </w:rPr>
        <w:t>搭配车载以太网接口转换模块</w:t>
      </w:r>
      <w:r>
        <w:rPr>
          <w:rFonts w:hint="default" w:ascii="微软雅黑" w:hAnsi="微软雅黑" w:eastAsia="微软雅黑" w:cs="微软雅黑"/>
          <w:i w:val="0"/>
          <w:iCs w:val="0"/>
          <w:caps w:val="0"/>
          <w:color w:val="191B1F"/>
          <w:spacing w:val="0"/>
          <w:sz w:val="15"/>
          <w:szCs w:val="15"/>
          <w:shd w:val="clear" w:fill="FFFFFF"/>
          <w:lang w:val="en-US" w:eastAsia="zh-CN"/>
        </w:rPr>
        <w:t>可以针对汽车以太网和工业以太网等提供TSN协议测试解决方案。</w:t>
      </w:r>
      <w:r>
        <w:rPr>
          <w:rFonts w:hint="eastAsia" w:ascii="微软雅黑" w:hAnsi="微软雅黑" w:eastAsia="微软雅黑" w:cs="微软雅黑"/>
          <w:i w:val="0"/>
          <w:iCs w:val="0"/>
          <w:caps w:val="0"/>
          <w:color w:val="191B1F"/>
          <w:spacing w:val="0"/>
          <w:sz w:val="15"/>
          <w:szCs w:val="15"/>
          <w:shd w:val="clear" w:fill="FFFFFF"/>
          <w:lang w:val="en-US" w:eastAsia="zh-CN"/>
        </w:rPr>
        <w:t>对ECU、车载网关、TSN交换机进行性能、功能、TSN协议以及TSN一致性测试。</w:t>
      </w:r>
    </w:p>
    <w:p>
      <w:pPr>
        <w:keepNext w:val="0"/>
        <w:keepLines w:val="0"/>
        <w:pageBreakBefore w:val="0"/>
        <w:widowControl w:val="0"/>
        <w:numPr>
          <w:ilvl w:val="0"/>
          <w:numId w:val="0"/>
        </w:numPr>
        <w:kinsoku/>
        <w:wordWrap/>
        <w:overflowPunct/>
        <w:topLinePunct w:val="0"/>
        <w:autoSpaceDE/>
        <w:autoSpaceDN/>
        <w:bidi w:val="0"/>
        <w:adjustRightInd/>
        <w:snapToGrid/>
        <w:ind w:firstLine="300" w:firstLineChars="200"/>
        <w:textAlignment w:val="auto"/>
        <w:rPr>
          <w:rFonts w:hint="default" w:ascii="微软雅黑" w:hAnsi="微软雅黑" w:eastAsia="微软雅黑" w:cs="微软雅黑"/>
          <w:i w:val="0"/>
          <w:iCs w:val="0"/>
          <w:caps w:val="0"/>
          <w:color w:val="191B1F"/>
          <w:spacing w:val="0"/>
          <w:sz w:val="15"/>
          <w:szCs w:val="15"/>
          <w:shd w:val="clear" w:fill="FFFFFF"/>
          <w:lang w:val="en-US" w:eastAsia="zh-CN"/>
        </w:rPr>
      </w:pPr>
    </w:p>
    <w:p>
      <w:pPr>
        <w:numPr>
          <w:ilvl w:val="0"/>
          <w:numId w:val="1"/>
        </w:numPr>
        <w:tabs>
          <w:tab w:val="left" w:pos="251"/>
        </w:tabs>
        <w:ind w:left="420" w:leftChars="0" w:hanging="420" w:firstLineChars="0"/>
        <w:rPr>
          <w:rFonts w:hint="eastAsia" w:ascii="微软雅黑" w:hAnsi="微软雅黑" w:eastAsia="微软雅黑" w:cs="微软雅黑"/>
          <w:i w:val="0"/>
          <w:iCs w:val="0"/>
          <w:caps w:val="0"/>
          <w:color w:val="191B1F"/>
          <w:spacing w:val="0"/>
          <w:sz w:val="18"/>
          <w:szCs w:val="18"/>
          <w:shd w:val="clear" w:fill="FFFFFF"/>
        </w:rPr>
      </w:pPr>
      <w:r>
        <w:rPr>
          <w:rFonts w:hint="eastAsia" w:ascii="微软雅黑" w:hAnsi="微软雅黑" w:eastAsia="微软雅黑" w:cs="微软雅黑"/>
          <w:i w:val="0"/>
          <w:iCs w:val="0"/>
          <w:caps w:val="0"/>
          <w:color w:val="191B1F"/>
          <w:spacing w:val="0"/>
          <w:sz w:val="18"/>
          <w:szCs w:val="18"/>
          <w:shd w:val="clear" w:fill="FFFFFF"/>
          <w:lang w:val="en-US" w:eastAsia="zh-CN"/>
        </w:rPr>
        <w:tab/>
      </w:r>
      <w:r>
        <w:rPr>
          <w:rFonts w:hint="eastAsia" w:ascii="微软雅黑" w:hAnsi="微软雅黑" w:eastAsia="微软雅黑" w:cs="微软雅黑"/>
          <w:i w:val="0"/>
          <w:iCs w:val="0"/>
          <w:caps w:val="0"/>
          <w:color w:val="191B1F"/>
          <w:spacing w:val="0"/>
          <w:sz w:val="18"/>
          <w:szCs w:val="18"/>
          <w:shd w:val="clear" w:fill="FFFFFF"/>
          <w:lang w:val="en-US" w:eastAsia="zh-CN"/>
        </w:rPr>
        <w:t>千兆TSN测试板卡</w:t>
      </w:r>
    </w:p>
    <w:p>
      <w:pPr>
        <w:numPr>
          <w:ilvl w:val="0"/>
          <w:numId w:val="0"/>
        </w:numPr>
        <w:tabs>
          <w:tab w:val="left" w:pos="251"/>
        </w:tabs>
        <w:ind w:leftChars="0"/>
        <w:rPr>
          <w:rFonts w:hint="eastAsia" w:ascii="微软雅黑" w:hAnsi="微软雅黑" w:eastAsia="微软雅黑" w:cs="微软雅黑"/>
          <w:i w:val="0"/>
          <w:iCs w:val="0"/>
          <w:caps w:val="0"/>
          <w:color w:val="191B1F"/>
          <w:spacing w:val="0"/>
          <w:sz w:val="18"/>
          <w:szCs w:val="18"/>
          <w:shd w:val="clear" w:fill="FFFFFF"/>
          <w:lang w:val="en-US" w:eastAsia="zh-CN"/>
        </w:rPr>
      </w:pPr>
    </w:p>
    <w:p>
      <w:pPr>
        <w:numPr>
          <w:ilvl w:val="0"/>
          <w:numId w:val="0"/>
        </w:numPr>
        <w:tabs>
          <w:tab w:val="left" w:pos="251"/>
        </w:tabs>
        <w:ind w:leftChars="0"/>
        <w:rPr>
          <w:rFonts w:hint="eastAsia" w:ascii="微软雅黑" w:hAnsi="微软雅黑" w:eastAsia="微软雅黑" w:cs="微软雅黑"/>
          <w:i w:val="0"/>
          <w:iCs w:val="0"/>
          <w:caps w:val="0"/>
          <w:color w:val="191B1F"/>
          <w:spacing w:val="0"/>
          <w:sz w:val="18"/>
          <w:szCs w:val="18"/>
          <w:shd w:val="clear" w:fill="FFFFFF"/>
          <w:lang w:val="en-US" w:eastAsia="zh-CN"/>
        </w:rPr>
      </w:pPr>
      <w:r>
        <w:rPr>
          <w:rFonts w:hint="eastAsia" w:ascii="微软雅黑" w:hAnsi="微软雅黑" w:eastAsia="微软雅黑" w:cs="微软雅黑"/>
          <w:i w:val="0"/>
          <w:iCs w:val="0"/>
          <w:caps w:val="0"/>
          <w:color w:val="191B1F"/>
          <w:spacing w:val="0"/>
          <w:sz w:val="18"/>
          <w:szCs w:val="18"/>
          <w:shd w:val="clear" w:fill="FFFFFF"/>
          <w:lang w:val="en-US" w:eastAsia="zh-CN"/>
        </w:rPr>
        <w:drawing>
          <wp:inline distT="0" distB="0" distL="114300" distR="114300">
            <wp:extent cx="5273675" cy="2096135"/>
            <wp:effectExtent l="0" t="0" r="14605" b="6985"/>
            <wp:docPr id="1" name="图片 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
                    <pic:cNvPicPr>
                      <a:picLocks noChangeAspect="1"/>
                    </pic:cNvPicPr>
                  </pic:nvPicPr>
                  <pic:blipFill>
                    <a:blip r:embed="rId13"/>
                    <a:stretch>
                      <a:fillRect/>
                    </a:stretch>
                  </pic:blipFill>
                  <pic:spPr>
                    <a:xfrm>
                      <a:off x="0" y="0"/>
                      <a:ext cx="5273675" cy="209613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220" w:firstLineChars="200"/>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sz w:val="11"/>
        </w:rPr>
        <mc:AlternateContent>
          <mc:Choice Requires="wps">
            <w:drawing>
              <wp:anchor distT="0" distB="0" distL="114300" distR="114300" simplePos="0" relativeHeight="251661312" behindDoc="0" locked="0" layoutInCell="1" allowOverlap="1">
                <wp:simplePos x="0" y="0"/>
                <wp:positionH relativeFrom="column">
                  <wp:posOffset>2938780</wp:posOffset>
                </wp:positionH>
                <wp:positionV relativeFrom="paragraph">
                  <wp:posOffset>154940</wp:posOffset>
                </wp:positionV>
                <wp:extent cx="2339340" cy="1986915"/>
                <wp:effectExtent l="0" t="0" r="7620" b="9525"/>
                <wp:wrapSquare wrapText="bothSides"/>
                <wp:docPr id="30" name="文本框 30"/>
                <wp:cNvGraphicFramePr/>
                <a:graphic xmlns:a="http://schemas.openxmlformats.org/drawingml/2006/main">
                  <a:graphicData uri="http://schemas.microsoft.com/office/word/2010/wordprocessingShape">
                    <wps:wsp>
                      <wps:cNvSpPr txBox="1"/>
                      <wps:spPr>
                        <a:xfrm>
                          <a:off x="0" y="0"/>
                          <a:ext cx="2339340" cy="19869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4pt;margin-top:12.2pt;height:156.45pt;width:184.2pt;mso-wrap-distance-bottom:0pt;mso-wrap-distance-left:9pt;mso-wrap-distance-right:9pt;mso-wrap-distance-top:0pt;z-index:251661312;mso-width-relative:page;mso-height-relative:page;" fillcolor="#FFFFFF [3201]" filled="t" stroked="f" coordsize="21600,21600" o:gfxdata="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ojIkc1QAAAAoBAAAPAAAA&#10;AAAAAAEAIAAAACIAAABkcnMvZG93bnJldi54bWxQSwECFAAUAAAACACHTuJAfls+uVECAACSBAAA&#10;DgAAAAAAAAABACAAAAAkAQAAZHJzL2Uyb0RvYy54bWxQSwUGAAAAAAYABgBZAQAA5wUAAAAA&#10;">
                <v:fill on="t" focussize="0,0"/>
                <v:stroke on="f" weight="0.5pt"/>
                <v:imagedata o:title=""/>
                <o:lock v:ext="edit" aspectratio="f"/>
                <v:textbox>
                  <w:txbxContent>
                    <w:p>
                      <w:pPr>
                        <w:rPr>
                          <w:rFonts w:hint="eastAsia"/>
                          <w:lang w:val="en-US" w:eastAsia="zh-CN"/>
                        </w:rPr>
                      </w:pPr>
                    </w:p>
                  </w:txbxContent>
                </v:textbox>
                <w10:wrap type="square"/>
              </v:shape>
            </w:pict>
          </mc:Fallback>
        </mc:AlternateContent>
      </w:r>
      <w:r>
        <w:rPr>
          <w:rFonts w:hint="eastAsia" w:ascii="微软雅黑" w:hAnsi="微软雅黑" w:eastAsia="微软雅黑" w:cs="微软雅黑"/>
          <w:i w:val="0"/>
          <w:iCs w:val="0"/>
          <w:caps w:val="0"/>
          <w:color w:val="191B1F"/>
          <w:spacing w:val="0"/>
          <w:sz w:val="15"/>
          <w:szCs w:val="15"/>
          <w:shd w:val="clear" w:fill="FFFFFF"/>
          <w:lang w:val="en-US" w:eastAsia="zh-CN"/>
        </w:rPr>
        <w:t>关键特性：</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rFonts w:hint="eastAsia" w:ascii="微软雅黑" w:hAnsi="微软雅黑" w:eastAsia="微软雅黑" w:cs="微软雅黑"/>
          <w:i w:val="0"/>
          <w:iCs w:val="0"/>
          <w:caps w:val="0"/>
          <w:color w:val="191B1F"/>
          <w:spacing w:val="0"/>
          <w:sz w:val="15"/>
          <w:szCs w:val="15"/>
          <w:shd w:val="clear" w:fill="FFFFFF"/>
          <w:lang w:val="en-US" w:eastAsia="zh-CN"/>
        </w:rPr>
        <w:t xml:space="preserve">支持10/100/1000M RJ45 自协商（电接口）；                                 </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支持 100/1000M SFP（光接口）</w:t>
      </w:r>
      <w:r>
        <w:rPr>
          <w:rFonts w:hint="eastAsia" w:ascii="微软雅黑" w:hAnsi="微软雅黑" w:eastAsia="微软雅黑" w:cs="微软雅黑"/>
          <w:i w:val="0"/>
          <w:iCs w:val="0"/>
          <w:caps w:val="0"/>
          <w:color w:val="191B1F"/>
          <w:spacing w:val="0"/>
          <w:sz w:val="15"/>
          <w:szCs w:val="15"/>
          <w:shd w:val="clear" w:fill="FFFFFF"/>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支持ETTH-T1</w:t>
      </w:r>
      <w:r>
        <w:rPr>
          <w:rFonts w:hint="eastAsia" w:ascii="微软雅黑" w:hAnsi="微软雅黑" w:eastAsia="微软雅黑" w:cs="微软雅黑"/>
          <w:i w:val="0"/>
          <w:iCs w:val="0"/>
          <w:caps w:val="0"/>
          <w:color w:val="191B1F"/>
          <w:spacing w:val="0"/>
          <w:sz w:val="15"/>
          <w:szCs w:val="15"/>
          <w:shd w:val="clear" w:fill="FFFFFF"/>
          <w:lang w:val="en-US" w:eastAsia="zh-CN"/>
        </w:rPr>
        <w:t>/FTT1-1000</w:t>
      </w:r>
      <w:r>
        <w:rPr>
          <w:rFonts w:hint="default" w:ascii="微软雅黑" w:hAnsi="微软雅黑" w:eastAsia="微软雅黑" w:cs="微软雅黑"/>
          <w:i w:val="0"/>
          <w:iCs w:val="0"/>
          <w:caps w:val="0"/>
          <w:color w:val="191B1F"/>
          <w:spacing w:val="0"/>
          <w:sz w:val="15"/>
          <w:szCs w:val="15"/>
          <w:shd w:val="clear" w:fill="FFFFFF"/>
          <w:lang w:val="en-US" w:eastAsia="zh-CN"/>
        </w:rPr>
        <w:t>光电转换模块</w:t>
      </w:r>
      <w:r>
        <w:rPr>
          <w:rFonts w:hint="eastAsia" w:ascii="微软雅黑" w:hAnsi="微软雅黑" w:eastAsia="微软雅黑" w:cs="微软雅黑"/>
          <w:i w:val="0"/>
          <w:iCs w:val="0"/>
          <w:caps w:val="0"/>
          <w:color w:val="191B1F"/>
          <w:spacing w:val="0"/>
          <w:sz w:val="15"/>
          <w:szCs w:val="15"/>
          <w:shd w:val="clear" w:fill="FFFFFF"/>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支持2-3层流量测试及协议仿真</w:t>
      </w:r>
      <w:r>
        <w:rPr>
          <w:rFonts w:hint="eastAsia" w:ascii="微软雅黑" w:hAnsi="微软雅黑" w:eastAsia="微软雅黑" w:cs="微软雅黑"/>
          <w:i w:val="0"/>
          <w:iCs w:val="0"/>
          <w:caps w:val="0"/>
          <w:color w:val="191B1F"/>
          <w:spacing w:val="0"/>
          <w:sz w:val="15"/>
          <w:szCs w:val="15"/>
          <w:shd w:val="clear" w:fill="FFFFFF"/>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基于FPGA的100%线速流量生成、统计与捕获功能</w:t>
      </w:r>
      <w:r>
        <w:rPr>
          <w:rFonts w:hint="eastAsia" w:ascii="微软雅黑" w:hAnsi="微软雅黑" w:eastAsia="微软雅黑" w:cs="微软雅黑"/>
          <w:i w:val="0"/>
          <w:iCs w:val="0"/>
          <w:caps w:val="0"/>
          <w:color w:val="191B1F"/>
          <w:spacing w:val="0"/>
          <w:sz w:val="15"/>
          <w:szCs w:val="15"/>
          <w:shd w:val="clear" w:fill="FFFFFF"/>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提供8纳秒的统计精度</w:t>
      </w:r>
      <w:r>
        <w:rPr>
          <w:rFonts w:hint="eastAsia" w:ascii="微软雅黑" w:hAnsi="微软雅黑" w:eastAsia="微软雅黑" w:cs="微软雅黑"/>
          <w:i w:val="0"/>
          <w:iCs w:val="0"/>
          <w:caps w:val="0"/>
          <w:color w:val="191B1F"/>
          <w:spacing w:val="0"/>
          <w:sz w:val="15"/>
          <w:szCs w:val="15"/>
          <w:shd w:val="clear" w:fill="FFFFFF"/>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支持RFC2544、RFC2889、RFC3918等基准测试套件</w:t>
      </w:r>
      <w:r>
        <w:rPr>
          <w:rFonts w:hint="eastAsia" w:ascii="微软雅黑" w:hAnsi="微软雅黑" w:eastAsia="微软雅黑" w:cs="微软雅黑"/>
          <w:i w:val="0"/>
          <w:iCs w:val="0"/>
          <w:caps w:val="0"/>
          <w:color w:val="191B1F"/>
          <w:spacing w:val="0"/>
          <w:sz w:val="15"/>
          <w:szCs w:val="15"/>
          <w:shd w:val="clear" w:fill="FFFFFF"/>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 xml:space="preserve">支持中英文测试操作软件 </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eastAsia" w:ascii="微软雅黑" w:hAnsi="微软雅黑" w:eastAsia="微软雅黑" w:cs="微软雅黑"/>
          <w:i w:val="0"/>
          <w:iCs w:val="0"/>
          <w:caps w:val="0"/>
          <w:color w:val="191B1F"/>
          <w:spacing w:val="0"/>
          <w:sz w:val="18"/>
          <w:szCs w:val="18"/>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支持中英文测试报告系统</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jc w:val="left"/>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rFonts w:hint="eastAsia" w:ascii="微软雅黑" w:hAnsi="微软雅黑" w:eastAsia="微软雅黑" w:cs="微软雅黑"/>
          <w:i w:val="0"/>
          <w:iCs w:val="0"/>
          <w:caps w:val="0"/>
          <w:color w:val="191B1F"/>
          <w:spacing w:val="0"/>
          <w:sz w:val="15"/>
          <w:szCs w:val="15"/>
          <w:shd w:val="clear" w:fill="FFFFFF"/>
          <w:lang w:val="en-US" w:eastAsia="zh-CN"/>
        </w:rPr>
        <w:t>支持802.1Qav, 802.1CB, 802.1Qcr, 802.1Qat、802.1AS、802.1Qbv、802.1Qch、802.1Qci 、 802.1Qbu和Netconf协议测试；</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jc w:val="left"/>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rFonts w:hint="eastAsia" w:ascii="微软雅黑" w:hAnsi="微软雅黑" w:eastAsia="微软雅黑" w:cs="微软雅黑"/>
          <w:i w:val="0"/>
          <w:iCs w:val="0"/>
          <w:caps w:val="0"/>
          <w:color w:val="191B1F"/>
          <w:spacing w:val="0"/>
          <w:sz w:val="15"/>
          <w:szCs w:val="15"/>
          <w:shd w:val="clear" w:fill="FFFFFF"/>
          <w:lang w:val="en-US" w:eastAsia="zh-CN"/>
        </w:rPr>
        <w:t>支持802.1Qav, 802.1CB, 802.1Qcr, 802.1Qat、802.1AS、802.1Qbv、802.1Qch、802.1Qci 、 802.1Qbu和Netconf协议一致性测试。</w:t>
      </w:r>
    </w:p>
    <w:p>
      <w:pPr>
        <w:keepNext w:val="0"/>
        <w:keepLines w:val="0"/>
        <w:pageBreakBefore w:val="0"/>
        <w:widowControl w:val="0"/>
        <w:numPr>
          <w:ilvl w:val="0"/>
          <w:numId w:val="0"/>
        </w:numPr>
        <w:kinsoku/>
        <w:wordWrap/>
        <w:overflowPunct/>
        <w:topLinePunct w:val="0"/>
        <w:autoSpaceDE/>
        <w:autoSpaceDN/>
        <w:bidi w:val="0"/>
        <w:adjustRightInd/>
        <w:snapToGrid/>
        <w:ind w:left="210" w:leftChars="0"/>
        <w:textAlignment w:val="auto"/>
        <w:rPr>
          <w:rFonts w:hint="eastAsia" w:ascii="微软雅黑" w:hAnsi="微软雅黑" w:eastAsia="微软雅黑" w:cs="微软雅黑"/>
          <w:i w:val="0"/>
          <w:iCs w:val="0"/>
          <w:caps w:val="0"/>
          <w:color w:val="191B1F"/>
          <w:spacing w:val="0"/>
          <w:sz w:val="18"/>
          <w:szCs w:val="18"/>
          <w:shd w:val="clear" w:fill="FFFFFF"/>
          <w:lang w:val="en-US" w:eastAsia="zh-CN"/>
        </w:rPr>
      </w:pPr>
    </w:p>
    <w:p>
      <w:pPr>
        <w:numPr>
          <w:ilvl w:val="0"/>
          <w:numId w:val="1"/>
        </w:numPr>
        <w:tabs>
          <w:tab w:val="left" w:pos="251"/>
        </w:tabs>
        <w:ind w:left="420" w:leftChars="0" w:hanging="420" w:firstLineChars="0"/>
        <w:rPr>
          <w:rFonts w:hint="eastAsia" w:ascii="微软雅黑" w:hAnsi="微软雅黑" w:eastAsia="微软雅黑" w:cs="微软雅黑"/>
          <w:i w:val="0"/>
          <w:iCs w:val="0"/>
          <w:caps w:val="0"/>
          <w:color w:val="191B1F"/>
          <w:spacing w:val="0"/>
          <w:sz w:val="18"/>
          <w:szCs w:val="18"/>
          <w:shd w:val="clear" w:fill="FFFFFF"/>
        </w:rPr>
      </w:pPr>
      <w:r>
        <w:rPr>
          <w:rFonts w:hint="eastAsia" w:ascii="微软雅黑" w:hAnsi="微软雅黑" w:eastAsia="微软雅黑" w:cs="微软雅黑"/>
          <w:i w:val="0"/>
          <w:iCs w:val="0"/>
          <w:caps w:val="0"/>
          <w:color w:val="191B1F"/>
          <w:spacing w:val="0"/>
          <w:sz w:val="18"/>
          <w:szCs w:val="18"/>
          <w:shd w:val="clear" w:fill="FFFFFF"/>
          <w:lang w:val="en-US" w:eastAsia="zh-CN"/>
        </w:rPr>
        <w:tab/>
      </w:r>
      <w:r>
        <w:rPr>
          <w:rFonts w:hint="eastAsia" w:ascii="微软雅黑" w:hAnsi="微软雅黑" w:eastAsia="微软雅黑" w:cs="微软雅黑"/>
          <w:i w:val="0"/>
          <w:iCs w:val="0"/>
          <w:caps w:val="0"/>
          <w:color w:val="191B1F"/>
          <w:spacing w:val="0"/>
          <w:sz w:val="18"/>
          <w:szCs w:val="18"/>
          <w:shd w:val="clear" w:fill="FFFFFF"/>
          <w:lang w:val="en-US" w:eastAsia="zh-CN"/>
        </w:rPr>
        <w:t>万兆TSN测试板卡</w:t>
      </w:r>
    </w:p>
    <w:p>
      <w:pPr>
        <w:numPr>
          <w:ilvl w:val="0"/>
          <w:numId w:val="0"/>
        </w:numPr>
        <w:tabs>
          <w:tab w:val="left" w:pos="251"/>
        </w:tabs>
        <w:ind w:leftChars="0"/>
        <w:rPr>
          <w:rFonts w:hint="eastAsia" w:ascii="微软雅黑" w:hAnsi="微软雅黑" w:eastAsia="微软雅黑" w:cs="微软雅黑"/>
          <w:i w:val="0"/>
          <w:iCs w:val="0"/>
          <w:caps w:val="0"/>
          <w:color w:val="191B1F"/>
          <w:spacing w:val="0"/>
          <w:sz w:val="18"/>
          <w:szCs w:val="18"/>
          <w:shd w:val="clear" w:fill="FFFFFF"/>
        </w:rPr>
      </w:pPr>
    </w:p>
    <w:p>
      <w:pPr>
        <w:numPr>
          <w:ilvl w:val="0"/>
          <w:numId w:val="0"/>
        </w:numPr>
        <w:tabs>
          <w:tab w:val="left" w:pos="251"/>
        </w:tabs>
        <w:ind w:leftChars="0"/>
        <w:rPr>
          <w:rFonts w:hint="eastAsia" w:ascii="微软雅黑" w:hAnsi="微软雅黑" w:eastAsia="微软雅黑" w:cs="微软雅黑"/>
          <w:i w:val="0"/>
          <w:iCs w:val="0"/>
          <w:caps w:val="0"/>
          <w:color w:val="191B1F"/>
          <w:spacing w:val="0"/>
          <w:sz w:val="18"/>
          <w:szCs w:val="18"/>
          <w:shd w:val="clear" w:fill="FFFFFF"/>
        </w:rPr>
      </w:pPr>
      <w:r>
        <w:rPr>
          <w:rFonts w:hint="eastAsia" w:ascii="微软雅黑" w:hAnsi="微软雅黑" w:eastAsia="微软雅黑" w:cs="微软雅黑"/>
          <w:i w:val="0"/>
          <w:iCs w:val="0"/>
          <w:caps w:val="0"/>
          <w:color w:val="191B1F"/>
          <w:spacing w:val="0"/>
          <w:sz w:val="18"/>
          <w:szCs w:val="18"/>
          <w:shd w:val="clear" w:fill="FFFFFF"/>
        </w:rPr>
        <w:drawing>
          <wp:inline distT="0" distB="0" distL="114300" distR="114300">
            <wp:extent cx="5273675" cy="1966595"/>
            <wp:effectExtent l="0" t="0" r="14605" b="14605"/>
            <wp:docPr id="6" name="图片 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0"/>
                    <pic:cNvPicPr>
                      <a:picLocks noChangeAspect="1"/>
                    </pic:cNvPicPr>
                  </pic:nvPicPr>
                  <pic:blipFill>
                    <a:blip r:embed="rId14"/>
                    <a:stretch>
                      <a:fillRect/>
                    </a:stretch>
                  </pic:blipFill>
                  <pic:spPr>
                    <a:xfrm>
                      <a:off x="0" y="0"/>
                      <a:ext cx="5273675" cy="19665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210" w:leftChars="0"/>
        <w:textAlignment w:val="auto"/>
        <w:rPr>
          <w:rFonts w:hint="default" w:ascii="微软雅黑" w:hAnsi="微软雅黑" w:eastAsia="微软雅黑" w:cs="微软雅黑"/>
          <w:i w:val="0"/>
          <w:iCs w:val="0"/>
          <w:caps w:val="0"/>
          <w:color w:val="191B1F"/>
          <w:spacing w:val="0"/>
          <w:sz w:val="11"/>
          <w:szCs w:val="11"/>
          <w:shd w:val="clear" w:fill="FFFFFF"/>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default"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支持10G/5G/2.5G/1G/100M RJ45 自协商（电接口）</w:t>
      </w:r>
      <w:r>
        <w:rPr>
          <w:rFonts w:hint="eastAsia" w:ascii="微软雅黑" w:hAnsi="微软雅黑" w:eastAsia="微软雅黑" w:cs="微软雅黑"/>
          <w:i w:val="0"/>
          <w:iCs w:val="0"/>
          <w:caps w:val="0"/>
          <w:color w:val="191B1F"/>
          <w:spacing w:val="0"/>
          <w:sz w:val="15"/>
          <w:szCs w:val="15"/>
          <w:shd w:val="clear" w:fill="FFFFFF"/>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default"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支持 1G/10G SFP+（光接口）</w:t>
      </w:r>
      <w:r>
        <w:rPr>
          <w:rFonts w:hint="eastAsia" w:ascii="微软雅黑" w:hAnsi="微软雅黑" w:eastAsia="微软雅黑" w:cs="微软雅黑"/>
          <w:i w:val="0"/>
          <w:iCs w:val="0"/>
          <w:caps w:val="0"/>
          <w:color w:val="191B1F"/>
          <w:spacing w:val="0"/>
          <w:sz w:val="15"/>
          <w:szCs w:val="15"/>
          <w:shd w:val="clear" w:fill="FFFFFF"/>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default"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支持2-3层流量测试及协议仿真</w:t>
      </w:r>
      <w:r>
        <w:rPr>
          <w:rFonts w:hint="eastAsia" w:ascii="微软雅黑" w:hAnsi="微软雅黑" w:eastAsia="微软雅黑" w:cs="微软雅黑"/>
          <w:i w:val="0"/>
          <w:iCs w:val="0"/>
          <w:caps w:val="0"/>
          <w:color w:val="191B1F"/>
          <w:spacing w:val="0"/>
          <w:sz w:val="15"/>
          <w:szCs w:val="15"/>
          <w:shd w:val="clear" w:fill="FFFFFF"/>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default"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基于FPGA的100%线速流量生成、统计与捕获功能</w:t>
      </w:r>
      <w:r>
        <w:rPr>
          <w:rFonts w:hint="eastAsia" w:ascii="微软雅黑" w:hAnsi="微软雅黑" w:eastAsia="微软雅黑" w:cs="微软雅黑"/>
          <w:i w:val="0"/>
          <w:iCs w:val="0"/>
          <w:caps w:val="0"/>
          <w:color w:val="191B1F"/>
          <w:spacing w:val="0"/>
          <w:sz w:val="15"/>
          <w:szCs w:val="15"/>
          <w:shd w:val="clear" w:fill="FFFFFF"/>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default"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提供8纳秒的统计精度</w:t>
      </w:r>
      <w:r>
        <w:rPr>
          <w:rFonts w:hint="eastAsia" w:ascii="微软雅黑" w:hAnsi="微软雅黑" w:eastAsia="微软雅黑" w:cs="微软雅黑"/>
          <w:i w:val="0"/>
          <w:iCs w:val="0"/>
          <w:caps w:val="0"/>
          <w:color w:val="191B1F"/>
          <w:spacing w:val="0"/>
          <w:sz w:val="15"/>
          <w:szCs w:val="15"/>
          <w:shd w:val="clear" w:fill="FFFFFF"/>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default"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支持RFC2544、RFC2889、RFC3918等基准测试套件</w:t>
      </w:r>
      <w:r>
        <w:rPr>
          <w:rFonts w:hint="eastAsia" w:ascii="微软雅黑" w:hAnsi="微软雅黑" w:eastAsia="微软雅黑" w:cs="微软雅黑"/>
          <w:i w:val="0"/>
          <w:iCs w:val="0"/>
          <w:caps w:val="0"/>
          <w:color w:val="191B1F"/>
          <w:spacing w:val="0"/>
          <w:sz w:val="15"/>
          <w:szCs w:val="15"/>
          <w:shd w:val="clear" w:fill="FFFFFF"/>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default"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支持中英文测试操作软件</w:t>
      </w:r>
      <w:r>
        <w:rPr>
          <w:rFonts w:hint="eastAsia" w:ascii="微软雅黑" w:hAnsi="微软雅黑" w:eastAsia="微软雅黑" w:cs="微软雅黑"/>
          <w:i w:val="0"/>
          <w:iCs w:val="0"/>
          <w:caps w:val="0"/>
          <w:color w:val="191B1F"/>
          <w:spacing w:val="0"/>
          <w:sz w:val="15"/>
          <w:szCs w:val="15"/>
          <w:shd w:val="clear" w:fill="FFFFFF"/>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textAlignment w:val="auto"/>
        <w:rPr>
          <w:rFonts w:hint="default"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支持中英文测试报告系统</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jc w:val="left"/>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rFonts w:hint="eastAsia" w:ascii="微软雅黑" w:hAnsi="微软雅黑" w:eastAsia="微软雅黑" w:cs="微软雅黑"/>
          <w:i w:val="0"/>
          <w:iCs w:val="0"/>
          <w:caps w:val="0"/>
          <w:color w:val="191B1F"/>
          <w:spacing w:val="0"/>
          <w:sz w:val="15"/>
          <w:szCs w:val="15"/>
          <w:shd w:val="clear" w:fill="FFFFFF"/>
          <w:lang w:val="en-US" w:eastAsia="zh-CN"/>
        </w:rPr>
        <w:t>支持802.1Qav, 802.1CB, 802.1Qcr, 802.1Qat、802.1AS、802.1Qbv、802.1Qch、802.1Qci 、 802.1Qbu和Netconf协议测试；</w:t>
      </w:r>
    </w:p>
    <w:p>
      <w:pPr>
        <w:keepNext w:val="0"/>
        <w:keepLines w:val="0"/>
        <w:pageBreakBefore w:val="0"/>
        <w:widowControl w:val="0"/>
        <w:numPr>
          <w:ilvl w:val="0"/>
          <w:numId w:val="2"/>
        </w:numPr>
        <w:kinsoku/>
        <w:wordWrap/>
        <w:overflowPunct/>
        <w:topLinePunct w:val="0"/>
        <w:autoSpaceDE/>
        <w:autoSpaceDN/>
        <w:bidi w:val="0"/>
        <w:adjustRightInd/>
        <w:snapToGrid/>
        <w:ind w:left="-10" w:leftChars="0" w:firstLine="220" w:firstLineChars="0"/>
        <w:jc w:val="left"/>
        <w:textAlignment w:val="auto"/>
        <w:rPr>
          <w:rFonts w:hint="eastAsia" w:ascii="微软雅黑" w:hAnsi="微软雅黑" w:eastAsia="微软雅黑" w:cs="微软雅黑"/>
          <w:i w:val="0"/>
          <w:iCs w:val="0"/>
          <w:caps w:val="0"/>
          <w:color w:val="191B1F"/>
          <w:spacing w:val="0"/>
          <w:sz w:val="15"/>
          <w:szCs w:val="15"/>
          <w:shd w:val="clear" w:fill="FFFFFF"/>
          <w:lang w:val="en-US" w:eastAsia="zh-CN"/>
        </w:rPr>
      </w:pPr>
      <w:r>
        <w:rPr>
          <w:rFonts w:hint="eastAsia" w:ascii="微软雅黑" w:hAnsi="微软雅黑" w:eastAsia="微软雅黑" w:cs="微软雅黑"/>
          <w:i w:val="0"/>
          <w:iCs w:val="0"/>
          <w:caps w:val="0"/>
          <w:color w:val="191B1F"/>
          <w:spacing w:val="0"/>
          <w:sz w:val="15"/>
          <w:szCs w:val="15"/>
          <w:shd w:val="clear" w:fill="FFFFFF"/>
          <w:lang w:val="en-US" w:eastAsia="zh-CN"/>
        </w:rPr>
        <w:t>支持802.1Qav, 802.1CB, 802.1Qcr, 802.1Qat、802.1AS、802.1Qbv、802.1Qch、802.1Qci 、 802.1Qbu和Netconf协议一致性测试。</w:t>
      </w:r>
    </w:p>
    <w:p>
      <w:pPr>
        <w:rPr>
          <w:rFonts w:hint="eastAsia"/>
          <w:b/>
          <w:bCs/>
          <w:lang w:val="en-US" w:eastAsia="zh-CN"/>
        </w:rPr>
      </w:pPr>
    </w:p>
    <w:p>
      <w:pPr>
        <w:rPr>
          <w:rFonts w:hint="eastAsia"/>
          <w:b/>
          <w:bCs/>
          <w:lang w:val="en-US" w:eastAsia="zh-CN"/>
        </w:rPr>
      </w:pPr>
    </w:p>
    <w:p>
      <w:pPr>
        <w:rPr>
          <w:rFonts w:hint="default"/>
          <w:b/>
          <w:bCs/>
          <w:lang w:val="en-US" w:eastAsia="zh-CN"/>
        </w:rPr>
      </w:pPr>
      <w:r>
        <w:rPr>
          <w:rFonts w:hint="eastAsia"/>
          <w:b/>
          <w:bCs/>
          <w:lang w:val="en-US" w:eastAsia="zh-CN"/>
        </w:rPr>
        <w:t>适用场景</w:t>
      </w:r>
    </w:p>
    <w:p>
      <w:pPr>
        <w:keepNext w:val="0"/>
        <w:keepLines w:val="0"/>
        <w:pageBreakBefore w:val="0"/>
        <w:widowControl w:val="0"/>
        <w:numPr>
          <w:ilvl w:val="0"/>
          <w:numId w:val="3"/>
        </w:numPr>
        <w:kinsoku/>
        <w:wordWrap/>
        <w:overflowPunct/>
        <w:topLinePunct w:val="0"/>
        <w:autoSpaceDE/>
        <w:autoSpaceDN/>
        <w:bidi w:val="0"/>
        <w:adjustRightInd/>
        <w:snapToGrid/>
        <w:ind w:left="420" w:leftChars="0" w:hanging="420" w:firstLineChars="0"/>
        <w:textAlignment w:val="auto"/>
        <w:rPr>
          <w:rFonts w:hint="default" w:ascii="微软雅黑" w:hAnsi="微软雅黑" w:eastAsia="微软雅黑" w:cs="微软雅黑"/>
          <w:b/>
          <w:bCs/>
          <w:i w:val="0"/>
          <w:iCs w:val="0"/>
          <w:caps w:val="0"/>
          <w:color w:val="191B1F"/>
          <w:spacing w:val="0"/>
          <w:sz w:val="15"/>
          <w:szCs w:val="15"/>
          <w:shd w:val="clear" w:fill="FFFFFF"/>
          <w:lang w:val="en-US" w:eastAsia="zh-CN"/>
        </w:rPr>
      </w:pPr>
      <w:r>
        <w:rPr>
          <w:rFonts w:hint="default" w:ascii="微软雅黑" w:hAnsi="微软雅黑" w:eastAsia="微软雅黑" w:cs="微软雅黑"/>
          <w:b/>
          <w:bCs/>
          <w:i w:val="0"/>
          <w:iCs w:val="0"/>
          <w:caps w:val="0"/>
          <w:color w:val="191B1F"/>
          <w:spacing w:val="0"/>
          <w:sz w:val="15"/>
          <w:szCs w:val="15"/>
          <w:shd w:val="clear" w:fill="FFFFFF"/>
          <w:lang w:val="en-US" w:eastAsia="zh-CN"/>
        </w:rPr>
        <w:t>车辆内部通信：</w:t>
      </w:r>
    </w:p>
    <w:p>
      <w:pPr>
        <w:keepNext w:val="0"/>
        <w:keepLines w:val="0"/>
        <w:pageBreakBefore w:val="0"/>
        <w:widowControl w:val="0"/>
        <w:numPr>
          <w:ilvl w:val="0"/>
          <w:numId w:val="0"/>
        </w:numPr>
        <w:kinsoku/>
        <w:wordWrap/>
        <w:overflowPunct/>
        <w:topLinePunct w:val="0"/>
        <w:autoSpaceDE/>
        <w:autoSpaceDN/>
        <w:bidi w:val="0"/>
        <w:adjustRightInd w:val="0"/>
        <w:snapToGrid/>
        <w:ind w:leftChars="0" w:firstLine="300" w:firstLineChars="200"/>
        <w:textAlignment w:val="auto"/>
        <w:rPr>
          <w:rFonts w:hint="default"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通过100/1000Base-T1转换模块，车辆内部的各个系统，如娱乐系统、导航系统、安全系统等，可以互相连接并交换数据，提高车辆的整体性能和用户体验。</w:t>
      </w:r>
    </w:p>
    <w:p>
      <w:pPr>
        <w:keepNext w:val="0"/>
        <w:keepLines w:val="0"/>
        <w:pageBreakBefore w:val="0"/>
        <w:widowControl w:val="0"/>
        <w:numPr>
          <w:ilvl w:val="0"/>
          <w:numId w:val="3"/>
        </w:numPr>
        <w:kinsoku/>
        <w:wordWrap/>
        <w:overflowPunct/>
        <w:topLinePunct w:val="0"/>
        <w:autoSpaceDE/>
        <w:autoSpaceDN/>
        <w:bidi w:val="0"/>
        <w:adjustRightInd/>
        <w:snapToGrid/>
        <w:ind w:left="420" w:leftChars="0" w:hanging="420" w:firstLineChars="0"/>
        <w:textAlignment w:val="auto"/>
        <w:rPr>
          <w:rFonts w:hint="default" w:ascii="微软雅黑" w:hAnsi="微软雅黑" w:eastAsia="微软雅黑" w:cs="微软雅黑"/>
          <w:b/>
          <w:bCs/>
          <w:i w:val="0"/>
          <w:iCs w:val="0"/>
          <w:caps w:val="0"/>
          <w:color w:val="191B1F"/>
          <w:spacing w:val="0"/>
          <w:sz w:val="15"/>
          <w:szCs w:val="15"/>
          <w:shd w:val="clear" w:fill="FFFFFF"/>
          <w:lang w:val="en-US" w:eastAsia="zh-CN"/>
        </w:rPr>
      </w:pPr>
      <w:r>
        <w:rPr>
          <w:rFonts w:hint="default" w:ascii="微软雅黑" w:hAnsi="微软雅黑" w:eastAsia="微软雅黑" w:cs="微软雅黑"/>
          <w:b/>
          <w:bCs/>
          <w:i w:val="0"/>
          <w:iCs w:val="0"/>
          <w:caps w:val="0"/>
          <w:color w:val="191B1F"/>
          <w:spacing w:val="0"/>
          <w:sz w:val="15"/>
          <w:szCs w:val="15"/>
          <w:shd w:val="clear" w:fill="FFFFFF"/>
          <w:lang w:val="en-US" w:eastAsia="zh-CN"/>
        </w:rPr>
        <w:t>车辆与外部网络的连接：</w:t>
      </w:r>
    </w:p>
    <w:p>
      <w:pPr>
        <w:keepNext w:val="0"/>
        <w:keepLines w:val="0"/>
        <w:pageBreakBefore w:val="0"/>
        <w:widowControl w:val="0"/>
        <w:numPr>
          <w:ilvl w:val="0"/>
          <w:numId w:val="0"/>
        </w:numPr>
        <w:kinsoku/>
        <w:wordWrap/>
        <w:overflowPunct/>
        <w:topLinePunct w:val="0"/>
        <w:autoSpaceDE/>
        <w:autoSpaceDN/>
        <w:bidi w:val="0"/>
        <w:adjustRightInd/>
        <w:snapToGrid/>
        <w:ind w:leftChars="0" w:firstLine="300" w:firstLineChars="200"/>
        <w:textAlignment w:val="auto"/>
        <w:rPr>
          <w:rFonts w:hint="default"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转换模块通过RJ-45和特定的连接器（如H-MTD连接器）实现车辆与外部网络的连接，从而与车辆后台管理系统进行通信，提供远程诊断和更新等功能。</w:t>
      </w:r>
    </w:p>
    <w:p>
      <w:pPr>
        <w:keepNext w:val="0"/>
        <w:keepLines w:val="0"/>
        <w:pageBreakBefore w:val="0"/>
        <w:widowControl w:val="0"/>
        <w:numPr>
          <w:ilvl w:val="0"/>
          <w:numId w:val="3"/>
        </w:numPr>
        <w:kinsoku/>
        <w:wordWrap/>
        <w:overflowPunct/>
        <w:topLinePunct w:val="0"/>
        <w:autoSpaceDE/>
        <w:autoSpaceDN/>
        <w:bidi w:val="0"/>
        <w:adjustRightInd/>
        <w:snapToGrid/>
        <w:ind w:left="420" w:leftChars="0" w:hanging="420" w:firstLineChars="0"/>
        <w:textAlignment w:val="auto"/>
        <w:rPr>
          <w:rFonts w:hint="default" w:ascii="微软雅黑" w:hAnsi="微软雅黑" w:eastAsia="微软雅黑" w:cs="微软雅黑"/>
          <w:b/>
          <w:bCs/>
          <w:i w:val="0"/>
          <w:iCs w:val="0"/>
          <w:caps w:val="0"/>
          <w:color w:val="191B1F"/>
          <w:spacing w:val="0"/>
          <w:sz w:val="15"/>
          <w:szCs w:val="15"/>
          <w:shd w:val="clear" w:fill="FFFFFF"/>
          <w:lang w:val="en-US" w:eastAsia="zh-CN"/>
        </w:rPr>
      </w:pPr>
      <w:r>
        <w:rPr>
          <w:rFonts w:hint="default" w:ascii="微软雅黑" w:hAnsi="微软雅黑" w:eastAsia="微软雅黑" w:cs="微软雅黑"/>
          <w:b/>
          <w:bCs/>
          <w:i w:val="0"/>
          <w:iCs w:val="0"/>
          <w:caps w:val="0"/>
          <w:color w:val="191B1F"/>
          <w:spacing w:val="0"/>
          <w:sz w:val="15"/>
          <w:szCs w:val="15"/>
          <w:shd w:val="clear" w:fill="FFFFFF"/>
          <w:lang w:val="en-US" w:eastAsia="zh-CN"/>
        </w:rPr>
        <w:t>汽车EMC测试：</w:t>
      </w:r>
    </w:p>
    <w:p>
      <w:pPr>
        <w:keepNext w:val="0"/>
        <w:keepLines w:val="0"/>
        <w:pageBreakBefore w:val="0"/>
        <w:widowControl w:val="0"/>
        <w:numPr>
          <w:ilvl w:val="0"/>
          <w:numId w:val="0"/>
        </w:numPr>
        <w:kinsoku/>
        <w:wordWrap/>
        <w:overflowPunct/>
        <w:topLinePunct w:val="0"/>
        <w:autoSpaceDE/>
        <w:autoSpaceDN/>
        <w:bidi w:val="0"/>
        <w:adjustRightInd/>
        <w:snapToGrid/>
        <w:ind w:leftChars="0" w:firstLine="300" w:firstLineChars="200"/>
        <w:textAlignment w:val="auto"/>
        <w:rPr>
          <w:rFonts w:hint="default"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在EMC实验室中，1000Base-T1（车载千兆以太网）的光电模块被用于待测物（DUT）和辅助设备之间的总线信号传输。这种模块将总线电信号转换为光信号，穿过EMC实验室，避免了电缆穿过实验室的屏蔽层，保证了实验室的屏蔽效能。</w:t>
      </w:r>
    </w:p>
    <w:p>
      <w:pPr>
        <w:keepNext w:val="0"/>
        <w:keepLines w:val="0"/>
        <w:pageBreakBefore w:val="0"/>
        <w:widowControl w:val="0"/>
        <w:numPr>
          <w:ilvl w:val="0"/>
          <w:numId w:val="3"/>
        </w:numPr>
        <w:kinsoku/>
        <w:wordWrap/>
        <w:overflowPunct/>
        <w:topLinePunct w:val="0"/>
        <w:autoSpaceDE/>
        <w:autoSpaceDN/>
        <w:bidi w:val="0"/>
        <w:adjustRightInd/>
        <w:snapToGrid/>
        <w:ind w:left="420" w:leftChars="0" w:hanging="420" w:firstLineChars="0"/>
        <w:textAlignment w:val="auto"/>
        <w:rPr>
          <w:rFonts w:hint="default" w:ascii="微软雅黑" w:hAnsi="微软雅黑" w:eastAsia="微软雅黑" w:cs="微软雅黑"/>
          <w:b/>
          <w:bCs/>
          <w:i w:val="0"/>
          <w:iCs w:val="0"/>
          <w:caps w:val="0"/>
          <w:color w:val="191B1F"/>
          <w:spacing w:val="0"/>
          <w:sz w:val="15"/>
          <w:szCs w:val="15"/>
          <w:shd w:val="clear" w:fill="FFFFFF"/>
          <w:lang w:val="en-US" w:eastAsia="zh-CN"/>
        </w:rPr>
      </w:pPr>
      <w:r>
        <w:rPr>
          <w:rFonts w:hint="default" w:ascii="微软雅黑" w:hAnsi="微软雅黑" w:eastAsia="微软雅黑" w:cs="微软雅黑"/>
          <w:b/>
          <w:bCs/>
          <w:i w:val="0"/>
          <w:iCs w:val="0"/>
          <w:caps w:val="0"/>
          <w:color w:val="191B1F"/>
          <w:spacing w:val="0"/>
          <w:sz w:val="15"/>
          <w:szCs w:val="15"/>
          <w:shd w:val="clear" w:fill="FFFFFF"/>
          <w:lang w:val="en-US" w:eastAsia="zh-CN"/>
        </w:rPr>
        <w:t>车载以太网总线监控：</w:t>
      </w:r>
    </w:p>
    <w:p>
      <w:pPr>
        <w:keepNext w:val="0"/>
        <w:keepLines w:val="0"/>
        <w:pageBreakBefore w:val="0"/>
        <w:widowControl w:val="0"/>
        <w:numPr>
          <w:ilvl w:val="0"/>
          <w:numId w:val="0"/>
        </w:numPr>
        <w:kinsoku/>
        <w:wordWrap/>
        <w:overflowPunct/>
        <w:topLinePunct w:val="0"/>
        <w:autoSpaceDE/>
        <w:autoSpaceDN/>
        <w:bidi w:val="0"/>
        <w:adjustRightInd/>
        <w:snapToGrid/>
        <w:ind w:leftChars="0" w:firstLine="300" w:firstLineChars="200"/>
        <w:textAlignment w:val="auto"/>
        <w:rPr>
          <w:rFonts w:hint="default" w:ascii="微软雅黑" w:hAnsi="微软雅黑" w:eastAsia="微软雅黑" w:cs="微软雅黑"/>
          <w:i w:val="0"/>
          <w:iCs w:val="0"/>
          <w:caps w:val="0"/>
          <w:color w:val="191B1F"/>
          <w:spacing w:val="0"/>
          <w:sz w:val="15"/>
          <w:szCs w:val="15"/>
          <w:shd w:val="clear" w:fill="FFFFFF"/>
          <w:lang w:val="en-US" w:eastAsia="zh-CN"/>
        </w:rPr>
      </w:pPr>
      <w:r>
        <w:rPr>
          <w:rFonts w:hint="default" w:ascii="微软雅黑" w:hAnsi="微软雅黑" w:eastAsia="微软雅黑" w:cs="微软雅黑"/>
          <w:i w:val="0"/>
          <w:iCs w:val="0"/>
          <w:caps w:val="0"/>
          <w:color w:val="191B1F"/>
          <w:spacing w:val="0"/>
          <w:sz w:val="15"/>
          <w:szCs w:val="15"/>
          <w:shd w:val="clear" w:fill="FFFFFF"/>
          <w:lang w:val="en-US" w:eastAsia="zh-CN"/>
        </w:rPr>
        <w:t>例如Optolink-100/1000Base-T1以太网总线光电转换器，它可以连接测试设备的车用以太网总线与监控系统的车用以太网总线（如电脑、以太网卡等）。这种转换器作为双向传输系统，接入系统后不会影响软件的通信或硬件的电性能（如信号的完整性、抗干扰能力等EMC性能）。</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微软雅黑" w:hAnsi="微软雅黑" w:eastAsia="微软雅黑" w:cs="微软雅黑"/>
          <w:i w:val="0"/>
          <w:iCs w:val="0"/>
          <w:caps w:val="0"/>
          <w:color w:val="191B1F"/>
          <w:spacing w:val="0"/>
          <w:sz w:val="15"/>
          <w:szCs w:val="15"/>
          <w:shd w:val="clear" w:fill="FFFFFF"/>
          <w:lang w:val="en-US" w:eastAsia="zh-CN"/>
        </w:rPr>
      </w:pPr>
    </w:p>
    <w:p>
      <w:pPr>
        <w:bidi w:val="0"/>
        <w:jc w:val="cente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A9C824"/>
    <w:multiLevelType w:val="singleLevel"/>
    <w:tmpl w:val="9EA9C824"/>
    <w:lvl w:ilvl="0" w:tentative="0">
      <w:start w:val="1"/>
      <w:numFmt w:val="bullet"/>
      <w:lvlText w:val=""/>
      <w:lvlJc w:val="left"/>
      <w:pPr>
        <w:ind w:left="420" w:hanging="420"/>
      </w:pPr>
      <w:rPr>
        <w:rFonts w:hint="default" w:ascii="Wingdings" w:hAnsi="Wingdings"/>
      </w:rPr>
    </w:lvl>
  </w:abstractNum>
  <w:abstractNum w:abstractNumId="1">
    <w:nsid w:val="559ABB79"/>
    <w:multiLevelType w:val="singleLevel"/>
    <w:tmpl w:val="559ABB79"/>
    <w:lvl w:ilvl="0" w:tentative="0">
      <w:start w:val="1"/>
      <w:numFmt w:val="bullet"/>
      <w:lvlText w:val=""/>
      <w:lvlJc w:val="left"/>
      <w:pPr>
        <w:ind w:left="420" w:hanging="420"/>
      </w:pPr>
      <w:rPr>
        <w:rFonts w:hint="default" w:ascii="Wingdings" w:hAnsi="Wingdings"/>
      </w:rPr>
    </w:lvl>
  </w:abstractNum>
  <w:abstractNum w:abstractNumId="2">
    <w:nsid w:val="7B9773E6"/>
    <w:multiLevelType w:val="singleLevel"/>
    <w:tmpl w:val="7B9773E6"/>
    <w:lvl w:ilvl="0" w:tentative="0">
      <w:start w:val="1"/>
      <w:numFmt w:val="bullet"/>
      <w:lvlText w:val=""/>
      <w:lvlJc w:val="left"/>
      <w:pPr>
        <w:ind w:left="410" w:hanging="420"/>
      </w:pPr>
      <w:rPr>
        <w:rFonts w:hint="default"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MzNjAyNzRkYTQ2YjhlZDZmM2RjZjE3MzliOTM5YzYifQ=="/>
    <w:docVar w:name="KSO_WPS_MARK_KEY" w:val="5563619a-0997-4127-bd6a-b1a30a1bd494"/>
  </w:docVars>
  <w:rsids>
    <w:rsidRoot w:val="2CA7031F"/>
    <w:rsid w:val="034F45E8"/>
    <w:rsid w:val="0405748B"/>
    <w:rsid w:val="059163E9"/>
    <w:rsid w:val="074D766D"/>
    <w:rsid w:val="10A17E2B"/>
    <w:rsid w:val="12500DC6"/>
    <w:rsid w:val="19221B9A"/>
    <w:rsid w:val="2CA7031F"/>
    <w:rsid w:val="318170A3"/>
    <w:rsid w:val="358362DE"/>
    <w:rsid w:val="3E611186"/>
    <w:rsid w:val="42870165"/>
    <w:rsid w:val="428E22BD"/>
    <w:rsid w:val="43373CF9"/>
    <w:rsid w:val="44570C08"/>
    <w:rsid w:val="5EFC737D"/>
    <w:rsid w:val="76E62B16"/>
    <w:rsid w:val="7B606193"/>
    <w:rsid w:val="7BE44282"/>
    <w:rsid w:val="7D2269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5">
    <w:name w:val="Strong"/>
    <w:basedOn w:val="4"/>
    <w:autoRedefine/>
    <w:qFormat/>
    <w:uiPriority w:val="0"/>
    <w:rPr>
      <w:b/>
    </w:rPr>
  </w:style>
  <w:style w:type="character" w:styleId="6">
    <w:name w:val="Hyperlink"/>
    <w:basedOn w:val="4"/>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2072</Words>
  <Characters>2874</Characters>
  <Lines>0</Lines>
  <Paragraphs>0</Paragraphs>
  <TotalTime>47</TotalTime>
  <ScaleCrop>false</ScaleCrop>
  <LinksUpToDate>false</LinksUpToDate>
  <CharactersWithSpaces>2993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2024-04-09T08:24:00Z</dcterms:created>
  <dc:creator>随″</dc:creator>
  <cp:lastModifiedBy>信而泰市场部</cp:lastModifiedBy>
  <dcterms:modified xsi:type="dcterms:W3CDTF">2024-04-29T01:58:30Z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6AD5A708C3C04B55AC9D3740989DDDA1_13</vt:lpwstr>
  </property>
</Properties>
</file>