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28"/>
          <w:szCs w:val="32"/>
        </w:rPr>
      </w:pPr>
      <w:bookmarkStart w:id="1" w:name="_GoBack"/>
      <w:bookmarkEnd w:id="1"/>
      <w:r>
        <w:rPr>
          <w:rFonts w:hint="eastAsia" w:ascii="微软雅黑" w:hAnsi="微软雅黑" w:eastAsia="微软雅黑" w:cs="微软雅黑"/>
          <w:b/>
          <w:bCs/>
          <w:sz w:val="28"/>
          <w:szCs w:val="32"/>
        </w:rPr>
        <w:t>信而泰BGP Flow Spec防攻击测试解决方案</w:t>
      </w:r>
    </w:p>
    <w:p>
      <w:pPr>
        <w:jc w:val="center"/>
        <w:rPr>
          <w:rFonts w:hint="eastAsia"/>
          <w:b/>
          <w:bCs/>
          <w:sz w:val="24"/>
          <w:szCs w:val="28"/>
        </w:rPr>
      </w:pPr>
    </w:p>
    <w:p>
      <w:pPr>
        <w:ind w:firstLine="420"/>
      </w:pPr>
      <w:r>
        <w:rPr>
          <w:rFonts w:hint="eastAsia"/>
        </w:rPr>
        <w:t>随着互联网行业的迅猛发展，越来越多的业务都从线下走到了线上。互联网在给大家生活带来便利的同时也面临着防护自身安全的各种挑战。</w:t>
      </w:r>
      <w:r>
        <w:t>DoS/DDoS攻击是对网络安全的重大威胁，攻击者通过多个控制端控制成千上万的攻击设备对同一个目的地址、网段或服务器同时发起流量攻击，导致网络拥塞或服务器CPU占用过高无法提供服务</w:t>
      </w:r>
      <w:r>
        <w:rPr>
          <w:rFonts w:hint="eastAsia"/>
        </w:rPr>
        <w:t>。现在的路由器除了具备流量转发的功能外，还可以通过</w:t>
      </w:r>
      <w:r>
        <w:t>BGP Flow Specification对流量进行分类、限速、过滤和重定向等操作</w:t>
      </w:r>
      <w:r>
        <w:rPr>
          <w:rFonts w:hint="eastAsia"/>
        </w:rPr>
        <w:t>，</w:t>
      </w:r>
      <w:r>
        <w:t>这对防御DoS/DDoS攻击非常重要。</w:t>
      </w:r>
      <w:r>
        <w:rPr>
          <w:rFonts w:hint="eastAsia"/>
        </w:rPr>
        <w:t>目前，Renix软件平台支持BGP</w:t>
      </w:r>
      <w:r>
        <w:t xml:space="preserve"> </w:t>
      </w:r>
      <w:r>
        <w:rPr>
          <w:rFonts w:hint="eastAsia"/>
        </w:rPr>
        <w:t>Flow</w:t>
      </w:r>
      <w:r>
        <w:t xml:space="preserve"> </w:t>
      </w:r>
      <w:r>
        <w:rPr>
          <w:rFonts w:hint="eastAsia"/>
        </w:rPr>
        <w:t>Spec的相关功能测试。本文的主要内容也是说明Renix对于BGP</w:t>
      </w:r>
      <w:r>
        <w:t xml:space="preserve"> </w:t>
      </w:r>
      <w:r>
        <w:rPr>
          <w:rFonts w:hint="eastAsia"/>
        </w:rPr>
        <w:t>Flow</w:t>
      </w:r>
      <w:r>
        <w:t xml:space="preserve"> </w:t>
      </w:r>
      <w:r>
        <w:rPr>
          <w:rFonts w:hint="eastAsia"/>
        </w:rPr>
        <w:t>Spec测试的支持度以及相关测试操作举例。</w:t>
      </w:r>
    </w:p>
    <w:p>
      <w:pPr>
        <w:pStyle w:val="2"/>
      </w:pPr>
      <w:r>
        <w:t>BGP Flow Specification介绍</w:t>
      </w:r>
    </w:p>
    <w:p>
      <w:pPr>
        <w:ind w:firstLine="420"/>
      </w:pPr>
      <w:r>
        <w:rPr>
          <w:rFonts w:hint="eastAsia"/>
        </w:rPr>
        <w:t>先简单介绍一下什么是BGP</w:t>
      </w:r>
      <w:r>
        <w:t xml:space="preserve"> </w:t>
      </w:r>
      <w:r>
        <w:rPr>
          <w:rFonts w:hint="eastAsia"/>
        </w:rPr>
        <w:t>Flow</w:t>
      </w:r>
      <w:r>
        <w:t xml:space="preserve"> </w:t>
      </w:r>
      <w:r>
        <w:rPr>
          <w:rFonts w:hint="eastAsia"/>
        </w:rPr>
        <w:t>Specification。</w:t>
      </w:r>
      <w:r>
        <w:t>BGP Flow Specification</w:t>
      </w:r>
      <w:r>
        <w:rPr>
          <w:rFonts w:hint="eastAsia"/>
        </w:rPr>
        <w:t>（简称BGP</w:t>
      </w:r>
      <w:r>
        <w:t xml:space="preserve"> Flow Spec</w:t>
      </w:r>
      <w:r>
        <w:rPr>
          <w:rFonts w:hint="eastAsia"/>
        </w:rPr>
        <w:t>）</w:t>
      </w:r>
      <w:r>
        <w:t>是一种用于防止DoS（Denial of Service）/DDoS（Distributed Denial of Service）攻击的方法，可以提高网络安全性和可用性。</w:t>
      </w:r>
      <w:r>
        <w:rPr>
          <w:rFonts w:hint="eastAsia"/>
        </w:rPr>
        <w:t>传统预防</w:t>
      </w:r>
      <w:r>
        <w:t>DoS/DDoS攻击的方法有两种，分别是流分类技术和对攻击流量重定向，但是这两种方法都存在缺陷，如表1所示。</w:t>
      </w:r>
    </w:p>
    <w:p>
      <w:pPr>
        <w:pStyle w:val="5"/>
      </w:pPr>
      <w:r>
        <w:rPr>
          <w:rFonts w:hint="eastAsia"/>
        </w:rPr>
        <w:t>表1</w:t>
      </w:r>
      <w:r>
        <w:t>传统预防DoS/DDoS攻击方法的比较</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685"/>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b/>
                <w:bCs/>
                <w:sz w:val="15"/>
                <w:szCs w:val="15"/>
              </w:rPr>
            </w:pPr>
            <w:r>
              <w:rPr>
                <w:rFonts w:hint="eastAsia"/>
                <w:b/>
                <w:bCs/>
                <w:sz w:val="15"/>
                <w:szCs w:val="15"/>
              </w:rPr>
              <w:t>预防方法</w:t>
            </w:r>
          </w:p>
        </w:tc>
        <w:tc>
          <w:tcPr>
            <w:tcW w:w="3685" w:type="dxa"/>
          </w:tcPr>
          <w:p>
            <w:pPr>
              <w:rPr>
                <w:b/>
                <w:bCs/>
                <w:sz w:val="15"/>
                <w:szCs w:val="15"/>
              </w:rPr>
            </w:pPr>
            <w:r>
              <w:rPr>
                <w:rFonts w:hint="eastAsia"/>
                <w:b/>
                <w:bCs/>
                <w:sz w:val="15"/>
                <w:szCs w:val="15"/>
              </w:rPr>
              <w:t>方法概述</w:t>
            </w:r>
          </w:p>
        </w:tc>
        <w:tc>
          <w:tcPr>
            <w:tcW w:w="3056" w:type="dxa"/>
          </w:tcPr>
          <w:p>
            <w:pPr>
              <w:rPr>
                <w:b/>
                <w:bCs/>
                <w:sz w:val="15"/>
                <w:szCs w:val="15"/>
              </w:rPr>
            </w:pPr>
            <w:r>
              <w:rPr>
                <w:rFonts w:hint="eastAsia"/>
                <w:b/>
                <w:bCs/>
                <w:sz w:val="15"/>
                <w:szCs w:val="15"/>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sz w:val="15"/>
                <w:szCs w:val="15"/>
              </w:rPr>
            </w:pPr>
            <w:r>
              <w:rPr>
                <w:rFonts w:hint="eastAsia"/>
                <w:sz w:val="15"/>
                <w:szCs w:val="15"/>
              </w:rPr>
              <w:t>流分类技术</w:t>
            </w:r>
          </w:p>
        </w:tc>
        <w:tc>
          <w:tcPr>
            <w:tcW w:w="3685" w:type="dxa"/>
          </w:tcPr>
          <w:p>
            <w:pPr>
              <w:rPr>
                <w:sz w:val="15"/>
                <w:szCs w:val="15"/>
              </w:rPr>
            </w:pPr>
            <w:r>
              <w:rPr>
                <w:rFonts w:hint="eastAsia"/>
                <w:sz w:val="15"/>
                <w:szCs w:val="15"/>
              </w:rPr>
              <w:t>在设备上手工配置流量匹配规则和相应的</w:t>
            </w:r>
            <w:r>
              <w:rPr>
                <w:sz w:val="15"/>
                <w:szCs w:val="15"/>
              </w:rPr>
              <w:t>QoS策略，用来缓解DoS/DDoS的攻击。</w:t>
            </w:r>
          </w:p>
        </w:tc>
        <w:tc>
          <w:tcPr>
            <w:tcW w:w="3056" w:type="dxa"/>
          </w:tcPr>
          <w:p>
            <w:pPr>
              <w:rPr>
                <w:sz w:val="15"/>
                <w:szCs w:val="15"/>
              </w:rPr>
            </w:pPr>
            <w:r>
              <w:rPr>
                <w:rFonts w:hint="eastAsia"/>
                <w:sz w:val="15"/>
                <w:szCs w:val="15"/>
              </w:rPr>
              <w:t>该方法存在如下缺点：</w:t>
            </w:r>
          </w:p>
          <w:p>
            <w:pPr>
              <w:pStyle w:val="14"/>
              <w:numPr>
                <w:ilvl w:val="0"/>
                <w:numId w:val="2"/>
              </w:numPr>
              <w:ind w:firstLineChars="0"/>
              <w:rPr>
                <w:sz w:val="15"/>
                <w:szCs w:val="15"/>
              </w:rPr>
            </w:pPr>
            <w:r>
              <w:rPr>
                <w:rFonts w:hint="eastAsia"/>
                <w:sz w:val="15"/>
                <w:szCs w:val="15"/>
              </w:rPr>
              <w:t>无法保证防御攻击的实时性，需要在多个网络服务供应商之间进行协调，以标识出攻击源。</w:t>
            </w:r>
          </w:p>
          <w:p>
            <w:pPr>
              <w:pStyle w:val="14"/>
              <w:numPr>
                <w:ilvl w:val="0"/>
                <w:numId w:val="2"/>
              </w:numPr>
              <w:ind w:firstLineChars="0"/>
              <w:rPr>
                <w:sz w:val="15"/>
                <w:szCs w:val="15"/>
              </w:rPr>
            </w:pPr>
            <w:r>
              <w:rPr>
                <w:rFonts w:hint="eastAsia"/>
                <w:sz w:val="15"/>
                <w:szCs w:val="15"/>
              </w:rPr>
              <w:t>维护工作难度大，需要手工修改流量过滤策略。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sz w:val="15"/>
                <w:szCs w:val="15"/>
              </w:rPr>
            </w:pPr>
            <w:r>
              <w:rPr>
                <w:rFonts w:hint="eastAsia"/>
                <w:sz w:val="15"/>
                <w:szCs w:val="15"/>
              </w:rPr>
              <w:t>对攻击流量重定向</w:t>
            </w:r>
          </w:p>
        </w:tc>
        <w:tc>
          <w:tcPr>
            <w:tcW w:w="3685" w:type="dxa"/>
          </w:tcPr>
          <w:p>
            <w:pPr>
              <w:rPr>
                <w:sz w:val="15"/>
                <w:szCs w:val="15"/>
              </w:rPr>
            </w:pPr>
            <w:r>
              <w:rPr>
                <w:rFonts w:hint="eastAsia"/>
                <w:sz w:val="15"/>
                <w:szCs w:val="15"/>
              </w:rPr>
              <w:t>通过路由策略修改指向受攻击目标的路由的下一跳：</w:t>
            </w:r>
          </w:p>
          <w:p>
            <w:pPr>
              <w:pStyle w:val="14"/>
              <w:numPr>
                <w:ilvl w:val="0"/>
                <w:numId w:val="2"/>
              </w:numPr>
              <w:ind w:firstLineChars="0"/>
              <w:rPr>
                <w:sz w:val="15"/>
                <w:szCs w:val="15"/>
              </w:rPr>
            </w:pPr>
            <w:r>
              <w:rPr>
                <w:rFonts w:hint="eastAsia"/>
                <w:sz w:val="15"/>
                <w:szCs w:val="15"/>
              </w:rPr>
              <w:t>将下一跳设置为一个黑洞，将流量丢弃。</w:t>
            </w:r>
          </w:p>
          <w:p>
            <w:pPr>
              <w:pStyle w:val="14"/>
              <w:numPr>
                <w:ilvl w:val="0"/>
                <w:numId w:val="2"/>
              </w:numPr>
              <w:ind w:firstLineChars="0"/>
              <w:rPr>
                <w:sz w:val="15"/>
                <w:szCs w:val="15"/>
              </w:rPr>
            </w:pPr>
            <w:r>
              <w:rPr>
                <w:rFonts w:hint="eastAsia"/>
                <w:sz w:val="15"/>
                <w:szCs w:val="15"/>
              </w:rPr>
              <w:t>将下一跳设置到一台流量清洗设备上，对攻击流量进行清洗，保护正常的业务流量。</w:t>
            </w:r>
          </w:p>
        </w:tc>
        <w:tc>
          <w:tcPr>
            <w:tcW w:w="3056" w:type="dxa"/>
          </w:tcPr>
          <w:p>
            <w:pPr>
              <w:rPr>
                <w:sz w:val="15"/>
                <w:szCs w:val="15"/>
              </w:rPr>
            </w:pPr>
            <w:r>
              <w:rPr>
                <w:rFonts w:hint="eastAsia"/>
                <w:sz w:val="15"/>
                <w:szCs w:val="15"/>
              </w:rPr>
              <w:t>该方法存在如下缺点：</w:t>
            </w:r>
          </w:p>
          <w:p>
            <w:pPr>
              <w:pStyle w:val="14"/>
              <w:numPr>
                <w:ilvl w:val="0"/>
                <w:numId w:val="2"/>
              </w:numPr>
              <w:ind w:firstLineChars="0"/>
              <w:rPr>
                <w:sz w:val="15"/>
                <w:szCs w:val="15"/>
              </w:rPr>
            </w:pPr>
            <w:r>
              <w:rPr>
                <w:rFonts w:hint="eastAsia"/>
                <w:sz w:val="15"/>
                <w:szCs w:val="15"/>
              </w:rPr>
              <w:t>流量过滤的匹配条件单一，即只能通过目的</w:t>
            </w:r>
            <w:r>
              <w:rPr>
                <w:sz w:val="15"/>
                <w:szCs w:val="15"/>
              </w:rPr>
              <w:t>IP地址进行过滤。</w:t>
            </w:r>
          </w:p>
          <w:p>
            <w:pPr>
              <w:pStyle w:val="14"/>
              <w:keepNext/>
              <w:numPr>
                <w:ilvl w:val="0"/>
                <w:numId w:val="2"/>
              </w:numPr>
              <w:ind w:firstLineChars="0"/>
              <w:rPr>
                <w:sz w:val="15"/>
                <w:szCs w:val="15"/>
              </w:rPr>
            </w:pPr>
            <w:r>
              <w:rPr>
                <w:rFonts w:hint="eastAsia"/>
                <w:sz w:val="15"/>
                <w:szCs w:val="15"/>
              </w:rPr>
              <w:t>控制流量过滤的信息和转发流量的路由信息混合在一起，增加维护难度。</w:t>
            </w:r>
          </w:p>
        </w:tc>
      </w:tr>
    </w:tbl>
    <w:p/>
    <w:p>
      <w:pPr>
        <w:ind w:firstLine="420"/>
      </w:pPr>
      <w:r>
        <w:rPr>
          <w:rFonts w:hint="eastAsia"/>
        </w:rPr>
        <w:t>B</w:t>
      </w:r>
      <w:r>
        <w:t>GP Flow Spec可以解决上述</w:t>
      </w:r>
      <w:r>
        <w:rPr>
          <w:rFonts w:hint="eastAsia"/>
        </w:rPr>
        <w:t>缺点</w:t>
      </w:r>
      <w:r>
        <w:t>：</w:t>
      </w:r>
    </w:p>
    <w:p>
      <w:pPr>
        <w:pStyle w:val="14"/>
        <w:numPr>
          <w:ilvl w:val="0"/>
          <w:numId w:val="3"/>
        </w:numPr>
        <w:ind w:left="210" w:leftChars="100" w:firstLineChars="0"/>
      </w:pPr>
      <w:r>
        <w:rPr>
          <w:rFonts w:hint="eastAsia"/>
        </w:rPr>
        <w:t>可维护性好。使用标准协议定义的</w:t>
      </w:r>
      <w:r>
        <w:t>BGP网络层可达信息类型来传递流量过滤信息，因此路由信息和流量过滤信息独立存在。</w:t>
      </w:r>
    </w:p>
    <w:p>
      <w:pPr>
        <w:pStyle w:val="14"/>
        <w:numPr>
          <w:ilvl w:val="0"/>
          <w:numId w:val="3"/>
        </w:numPr>
        <w:ind w:left="210" w:leftChars="100" w:firstLineChars="0"/>
      </w:pPr>
      <w:r>
        <w:rPr>
          <w:rFonts w:hint="eastAsia"/>
        </w:rPr>
        <w:t>提供丰富的过滤条件和处理动作，可以更有针对性地实现对流量的控制。</w:t>
      </w:r>
    </w:p>
    <w:p/>
    <w:p>
      <w:pPr>
        <w:ind w:firstLine="420"/>
      </w:pPr>
      <w:r>
        <w:rPr>
          <w:rFonts w:hint="eastAsia"/>
        </w:rPr>
        <w:t>此外，BGP</w:t>
      </w:r>
      <w:r>
        <w:t xml:space="preserve"> Flow Spec</w:t>
      </w:r>
      <w:r>
        <w:rPr>
          <w:rFonts w:hint="eastAsia"/>
        </w:rPr>
        <w:t>的应用可以大大提高用户网络的安全性与可靠性，具体如下：</w:t>
      </w:r>
    </w:p>
    <w:p>
      <w:pPr>
        <w:pStyle w:val="14"/>
        <w:numPr>
          <w:ilvl w:val="0"/>
          <w:numId w:val="3"/>
        </w:numPr>
        <w:ind w:left="210" w:leftChars="100" w:firstLineChars="0"/>
      </w:pPr>
      <w:r>
        <w:rPr>
          <w:rFonts w:hint="eastAsia"/>
        </w:rPr>
        <w:t>实时监控：</w:t>
      </w:r>
      <w:r>
        <w:t>BGP Flow Specification</w:t>
      </w:r>
      <w:r>
        <w:rPr>
          <w:rFonts w:hint="eastAsia"/>
        </w:rPr>
        <w:t>可以</w:t>
      </w:r>
      <w:r>
        <w:t>以定时采样的方式对攻击流量进行快速响应，实现对攻击流量的控制。</w:t>
      </w:r>
    </w:p>
    <w:p>
      <w:pPr>
        <w:pStyle w:val="14"/>
        <w:numPr>
          <w:ilvl w:val="0"/>
          <w:numId w:val="3"/>
        </w:numPr>
        <w:ind w:left="210" w:leftChars="100" w:firstLineChars="0"/>
      </w:pPr>
      <w:r>
        <w:rPr>
          <w:rFonts w:hint="eastAsia"/>
        </w:rPr>
        <w:t>预先防护：根据常见的攻击流量的特点，手工部署防护策略，使常见的攻击流量没有机会对用户网络造成危害，防患于未然。</w:t>
      </w:r>
    </w:p>
    <w:p>
      <w:pPr>
        <w:pStyle w:val="14"/>
        <w:numPr>
          <w:ilvl w:val="0"/>
          <w:numId w:val="3"/>
        </w:numPr>
        <w:ind w:left="210" w:leftChars="100" w:firstLineChars="0"/>
      </w:pPr>
      <w:r>
        <w:rPr>
          <w:rFonts w:hint="eastAsia"/>
        </w:rPr>
        <w:t>降低成本：不需要在每台设备上单独建立流量控制策略，提高可维护性。</w:t>
      </w:r>
    </w:p>
    <w:p>
      <w:pPr>
        <w:pStyle w:val="14"/>
        <w:numPr>
          <w:ilvl w:val="0"/>
          <w:numId w:val="3"/>
        </w:numPr>
        <w:ind w:left="210" w:leftChars="100" w:firstLineChars="0"/>
      </w:pPr>
      <w:r>
        <w:rPr>
          <w:rFonts w:hint="eastAsia"/>
        </w:rPr>
        <w:t>限制攻击范围：</w:t>
      </w:r>
      <w:r>
        <w:t>BGP Flow Specification支持跨域传播功能，可以在尽可能靠近攻击源的设备上消除攻击流量对网络的危害，大大降低了攻击流量对网络的影响。</w:t>
      </w:r>
    </w:p>
    <w:p>
      <w:pPr>
        <w:widowControl/>
        <w:jc w:val="left"/>
      </w:pPr>
      <w:r>
        <w:br w:type="page"/>
      </w:r>
    </w:p>
    <w:p>
      <w:pPr>
        <w:pStyle w:val="2"/>
      </w:pPr>
      <w:r>
        <w:rPr>
          <w:rFonts w:hint="eastAsia"/>
        </w:rPr>
        <w:t>Renix平台BGP</w:t>
      </w:r>
      <w:r>
        <w:t xml:space="preserve"> </w:t>
      </w:r>
      <w:r>
        <w:rPr>
          <w:rFonts w:hint="eastAsia"/>
        </w:rPr>
        <w:t>Flow</w:t>
      </w:r>
      <w:r>
        <w:t xml:space="preserve"> </w:t>
      </w:r>
      <w:r>
        <w:rPr>
          <w:rFonts w:hint="eastAsia"/>
        </w:rPr>
        <w:t>Spec配置介绍</w:t>
      </w:r>
    </w:p>
    <w:p>
      <w:r>
        <w:rPr>
          <w:rFonts w:hint="eastAsia"/>
        </w:rPr>
        <w:t>在</w:t>
      </w:r>
      <w:r>
        <w:t>RFC 5575中定义了解码Flow Spec的标准程序，使BGP路由具备更为丰富的属性并可执行限速、过滤和重定向等行为。接下来介绍Renix对于BGP Flow Spec测试的支持度。</w:t>
      </w:r>
    </w:p>
    <w:p>
      <w:pPr>
        <w:pStyle w:val="14"/>
        <w:numPr>
          <w:ilvl w:val="0"/>
          <w:numId w:val="4"/>
        </w:numPr>
        <w:ind w:firstLineChars="0"/>
      </w:pPr>
      <w:r>
        <w:rPr>
          <w:rFonts w:hint="eastAsia"/>
        </w:rPr>
        <w:t>支持</w:t>
      </w:r>
      <w:r>
        <w:t>IPv4 Flow Spec和IPv6 Flow Spec</w:t>
      </w:r>
      <w:r>
        <w:rPr>
          <w:rFonts w:hint="eastAsia"/>
        </w:rPr>
        <w:t>。</w:t>
      </w:r>
    </w:p>
    <w:p>
      <w:r>
        <w:drawing>
          <wp:inline distT="0" distB="0" distL="0" distR="0">
            <wp:extent cx="5274310" cy="5384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538480"/>
                    </a:xfrm>
                    <a:prstGeom prst="rect">
                      <a:avLst/>
                    </a:prstGeom>
                  </pic:spPr>
                </pic:pic>
              </a:graphicData>
            </a:graphic>
          </wp:inline>
        </w:drawing>
      </w:r>
    </w:p>
    <w:p>
      <w:r>
        <w:drawing>
          <wp:inline distT="0" distB="0" distL="0" distR="0">
            <wp:extent cx="5274310" cy="5314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531495"/>
                    </a:xfrm>
                    <a:prstGeom prst="rect">
                      <a:avLst/>
                    </a:prstGeom>
                  </pic:spPr>
                </pic:pic>
              </a:graphicData>
            </a:graphic>
          </wp:inline>
        </w:drawing>
      </w:r>
    </w:p>
    <w:p>
      <w:pPr>
        <w:pStyle w:val="14"/>
        <w:numPr>
          <w:ilvl w:val="0"/>
          <w:numId w:val="4"/>
        </w:numPr>
        <w:ind w:firstLineChars="0"/>
      </w:pPr>
      <w:r>
        <w:t>IPv4 Flow Spec支持12种匹配规则</w:t>
      </w:r>
      <w:r>
        <w:rPr>
          <w:rFonts w:hint="eastAsia"/>
        </w:rPr>
        <w:t>。</w:t>
      </w:r>
    </w:p>
    <w:p>
      <w:r>
        <w:drawing>
          <wp:inline distT="0" distB="0" distL="0" distR="0">
            <wp:extent cx="5274310" cy="5283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528320"/>
                    </a:xfrm>
                    <a:prstGeom prst="rect">
                      <a:avLst/>
                    </a:prstGeom>
                  </pic:spPr>
                </pic:pic>
              </a:graphicData>
            </a:graphic>
          </wp:inline>
        </w:drawing>
      </w:r>
    </w:p>
    <w:p>
      <w:pPr>
        <w:pStyle w:val="14"/>
        <w:ind w:left="420" w:firstLine="0" w:firstLineChars="0"/>
      </w:pPr>
      <w:r>
        <w:rPr>
          <w:rFonts w:hint="eastAsia"/>
        </w:rPr>
        <w:t>不同Type对应不同的字段，具体匹配规则内容如表</w:t>
      </w:r>
      <w:r>
        <w:t>2</w:t>
      </w:r>
    </w:p>
    <w:p>
      <w:pPr>
        <w:pStyle w:val="14"/>
        <w:ind w:left="420" w:firstLine="0" w:firstLineChars="0"/>
      </w:pPr>
      <w:r>
        <w:rPr>
          <w:rFonts w:hint="eastAsia"/>
        </w:rPr>
        <w:t>表</w:t>
      </w:r>
      <w:r>
        <w:t>2 IPv4 Flow Spec</w:t>
      </w:r>
      <w:r>
        <w:rPr>
          <w:rFonts w:hint="eastAsia"/>
        </w:rPr>
        <w:t>支持的匹配规则</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29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b/>
                <w:bCs/>
                <w:sz w:val="15"/>
                <w:szCs w:val="15"/>
              </w:rPr>
            </w:pPr>
            <w:bookmarkStart w:id="0" w:name="IPv4DestinationPrefix"/>
            <w:bookmarkEnd w:id="0"/>
            <w:r>
              <w:rPr>
                <w:rFonts w:hint="eastAsia"/>
                <w:b/>
                <w:bCs/>
                <w:sz w:val="15"/>
                <w:szCs w:val="15"/>
              </w:rPr>
              <w:t>Type类型</w:t>
            </w:r>
          </w:p>
        </w:tc>
        <w:tc>
          <w:tcPr>
            <w:tcW w:w="1296" w:type="dxa"/>
          </w:tcPr>
          <w:p>
            <w:pPr>
              <w:rPr>
                <w:b/>
                <w:bCs/>
                <w:sz w:val="15"/>
                <w:szCs w:val="15"/>
              </w:rPr>
            </w:pPr>
            <w:r>
              <w:rPr>
                <w:rFonts w:hint="eastAsia"/>
                <w:b/>
                <w:bCs/>
                <w:sz w:val="15"/>
                <w:szCs w:val="15"/>
              </w:rPr>
              <w:t>匹配字段</w:t>
            </w:r>
          </w:p>
        </w:tc>
        <w:tc>
          <w:tcPr>
            <w:tcW w:w="2046" w:type="dxa"/>
          </w:tcPr>
          <w:p>
            <w:pPr>
              <w:rPr>
                <w:b/>
                <w:bCs/>
                <w:sz w:val="15"/>
                <w:szCs w:val="15"/>
              </w:rPr>
            </w:pPr>
            <w:r>
              <w:rPr>
                <w:rFonts w:hint="eastAsia"/>
                <w:b/>
                <w:bCs/>
                <w:sz w:val="15"/>
                <w:szCs w:val="15"/>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Type-1</w:t>
            </w:r>
          </w:p>
        </w:tc>
        <w:tc>
          <w:tcPr>
            <w:tcW w:w="1296" w:type="dxa"/>
          </w:tcPr>
          <w:p>
            <w:pPr>
              <w:rPr>
                <w:sz w:val="15"/>
                <w:szCs w:val="15"/>
              </w:rPr>
            </w:pPr>
            <w:r>
              <w:rPr>
                <w:sz w:val="15"/>
                <w:szCs w:val="15"/>
              </w:rPr>
              <w:t>目的地址前缀</w:t>
            </w:r>
          </w:p>
        </w:tc>
        <w:tc>
          <w:tcPr>
            <w:tcW w:w="2046" w:type="dxa"/>
          </w:tcPr>
          <w:p>
            <w:pPr>
              <w:rPr>
                <w:sz w:val="15"/>
                <w:szCs w:val="15"/>
              </w:rPr>
            </w:pPr>
            <w:r>
              <w:rPr>
                <w:rFonts w:hint="eastAsia"/>
                <w:sz w:val="15"/>
                <w:szCs w:val="15"/>
              </w:rPr>
              <w:t>指定匹配的目的地址前缀。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Type-2</w:t>
            </w:r>
          </w:p>
        </w:tc>
        <w:tc>
          <w:tcPr>
            <w:tcW w:w="1296" w:type="dxa"/>
          </w:tcPr>
          <w:p>
            <w:pPr>
              <w:rPr>
                <w:sz w:val="15"/>
                <w:szCs w:val="15"/>
              </w:rPr>
            </w:pPr>
            <w:r>
              <w:rPr>
                <w:sz w:val="15"/>
                <w:szCs w:val="15"/>
              </w:rPr>
              <w:t>源地址前缀</w:t>
            </w:r>
          </w:p>
        </w:tc>
        <w:tc>
          <w:tcPr>
            <w:tcW w:w="2046" w:type="dxa"/>
          </w:tcPr>
          <w:p>
            <w:pPr>
              <w:keepNext/>
              <w:rPr>
                <w:sz w:val="15"/>
                <w:szCs w:val="15"/>
              </w:rPr>
            </w:pPr>
            <w:r>
              <w:rPr>
                <w:rFonts w:hint="eastAsia"/>
                <w:sz w:val="15"/>
                <w:szCs w:val="15"/>
              </w:rPr>
              <w:t>指定匹配的源地址前缀。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Type-3</w:t>
            </w:r>
          </w:p>
        </w:tc>
        <w:tc>
          <w:tcPr>
            <w:tcW w:w="1296" w:type="dxa"/>
          </w:tcPr>
          <w:p>
            <w:pPr>
              <w:rPr>
                <w:sz w:val="15"/>
                <w:szCs w:val="15"/>
              </w:rPr>
            </w:pPr>
            <w:r>
              <w:rPr>
                <w:sz w:val="15"/>
                <w:szCs w:val="15"/>
              </w:rPr>
              <w:t>IP协议</w:t>
            </w:r>
          </w:p>
        </w:tc>
        <w:tc>
          <w:tcPr>
            <w:tcW w:w="2046" w:type="dxa"/>
          </w:tcPr>
          <w:p>
            <w:pPr>
              <w:keepNext/>
              <w:rPr>
                <w:sz w:val="15"/>
                <w:szCs w:val="15"/>
              </w:rPr>
            </w:pPr>
            <w:r>
              <w:rPr>
                <w:sz w:val="15"/>
                <w:szCs w:val="15"/>
              </w:rPr>
              <w:t>指定匹配的IP协议号</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Type-4</w:t>
            </w:r>
          </w:p>
        </w:tc>
        <w:tc>
          <w:tcPr>
            <w:tcW w:w="1296" w:type="dxa"/>
          </w:tcPr>
          <w:p>
            <w:pPr>
              <w:rPr>
                <w:sz w:val="15"/>
                <w:szCs w:val="15"/>
              </w:rPr>
            </w:pPr>
            <w:r>
              <w:rPr>
                <w:sz w:val="15"/>
                <w:szCs w:val="15"/>
              </w:rPr>
              <w:t>端口</w:t>
            </w:r>
          </w:p>
        </w:tc>
        <w:tc>
          <w:tcPr>
            <w:tcW w:w="2046" w:type="dxa"/>
          </w:tcPr>
          <w:p>
            <w:pPr>
              <w:keepNext/>
              <w:rPr>
                <w:sz w:val="15"/>
                <w:szCs w:val="15"/>
              </w:rPr>
            </w:pPr>
            <w:r>
              <w:rPr>
                <w:sz w:val="15"/>
                <w:szCs w:val="15"/>
              </w:rPr>
              <w:t>指定匹配端口</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Type-5</w:t>
            </w:r>
          </w:p>
        </w:tc>
        <w:tc>
          <w:tcPr>
            <w:tcW w:w="1296" w:type="dxa"/>
          </w:tcPr>
          <w:p>
            <w:pPr>
              <w:rPr>
                <w:sz w:val="15"/>
                <w:szCs w:val="15"/>
              </w:rPr>
            </w:pPr>
            <w:r>
              <w:rPr>
                <w:sz w:val="15"/>
                <w:szCs w:val="15"/>
              </w:rPr>
              <w:t>目的端口</w:t>
            </w:r>
          </w:p>
        </w:tc>
        <w:tc>
          <w:tcPr>
            <w:tcW w:w="2046" w:type="dxa"/>
          </w:tcPr>
          <w:p>
            <w:pPr>
              <w:keepNext/>
              <w:rPr>
                <w:sz w:val="15"/>
                <w:szCs w:val="15"/>
              </w:rPr>
            </w:pPr>
            <w:r>
              <w:rPr>
                <w:sz w:val="15"/>
                <w:szCs w:val="15"/>
              </w:rPr>
              <w:t>指定匹配的目的端口</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Type-6</w:t>
            </w:r>
          </w:p>
        </w:tc>
        <w:tc>
          <w:tcPr>
            <w:tcW w:w="1296" w:type="dxa"/>
          </w:tcPr>
          <w:p>
            <w:pPr>
              <w:rPr>
                <w:sz w:val="15"/>
                <w:szCs w:val="15"/>
              </w:rPr>
            </w:pPr>
            <w:r>
              <w:rPr>
                <w:sz w:val="15"/>
                <w:szCs w:val="15"/>
              </w:rPr>
              <w:t>源端口</w:t>
            </w:r>
          </w:p>
        </w:tc>
        <w:tc>
          <w:tcPr>
            <w:tcW w:w="2046" w:type="dxa"/>
          </w:tcPr>
          <w:p>
            <w:pPr>
              <w:keepNext/>
              <w:rPr>
                <w:sz w:val="15"/>
                <w:szCs w:val="15"/>
              </w:rPr>
            </w:pPr>
            <w:r>
              <w:rPr>
                <w:sz w:val="15"/>
                <w:szCs w:val="15"/>
              </w:rPr>
              <w:t>指定匹配的源端口</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Type-7</w:t>
            </w:r>
          </w:p>
        </w:tc>
        <w:tc>
          <w:tcPr>
            <w:tcW w:w="1296" w:type="dxa"/>
          </w:tcPr>
          <w:p>
            <w:pPr>
              <w:rPr>
                <w:sz w:val="15"/>
                <w:szCs w:val="15"/>
              </w:rPr>
            </w:pPr>
            <w:r>
              <w:rPr>
                <w:sz w:val="15"/>
                <w:szCs w:val="15"/>
              </w:rPr>
              <w:t>ICMP类型</w:t>
            </w:r>
          </w:p>
        </w:tc>
        <w:tc>
          <w:tcPr>
            <w:tcW w:w="2046" w:type="dxa"/>
          </w:tcPr>
          <w:p>
            <w:pPr>
              <w:keepNext/>
              <w:rPr>
                <w:sz w:val="15"/>
                <w:szCs w:val="15"/>
              </w:rPr>
            </w:pPr>
            <w:r>
              <w:rPr>
                <w:sz w:val="15"/>
                <w:szCs w:val="15"/>
              </w:rPr>
              <w:t>指定匹配的ICMP类型</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Type-8</w:t>
            </w:r>
          </w:p>
        </w:tc>
        <w:tc>
          <w:tcPr>
            <w:tcW w:w="1296" w:type="dxa"/>
          </w:tcPr>
          <w:p>
            <w:pPr>
              <w:rPr>
                <w:sz w:val="15"/>
                <w:szCs w:val="15"/>
              </w:rPr>
            </w:pPr>
            <w:r>
              <w:rPr>
                <w:sz w:val="15"/>
                <w:szCs w:val="15"/>
              </w:rPr>
              <w:t>ICMP代码</w:t>
            </w:r>
          </w:p>
        </w:tc>
        <w:tc>
          <w:tcPr>
            <w:tcW w:w="2046" w:type="dxa"/>
          </w:tcPr>
          <w:p>
            <w:pPr>
              <w:keepNext/>
              <w:rPr>
                <w:sz w:val="15"/>
                <w:szCs w:val="15"/>
              </w:rPr>
            </w:pPr>
            <w:r>
              <w:rPr>
                <w:sz w:val="15"/>
                <w:szCs w:val="15"/>
              </w:rPr>
              <w:t>指定匹配的ICMP代码</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Type-9</w:t>
            </w:r>
          </w:p>
        </w:tc>
        <w:tc>
          <w:tcPr>
            <w:tcW w:w="1296" w:type="dxa"/>
          </w:tcPr>
          <w:p>
            <w:pPr>
              <w:rPr>
                <w:sz w:val="15"/>
                <w:szCs w:val="15"/>
              </w:rPr>
            </w:pPr>
            <w:r>
              <w:rPr>
                <w:sz w:val="15"/>
                <w:szCs w:val="15"/>
              </w:rPr>
              <w:t>TCP标志位</w:t>
            </w:r>
          </w:p>
        </w:tc>
        <w:tc>
          <w:tcPr>
            <w:tcW w:w="2046" w:type="dxa"/>
          </w:tcPr>
          <w:p>
            <w:pPr>
              <w:keepNext/>
              <w:rPr>
                <w:sz w:val="15"/>
                <w:szCs w:val="15"/>
              </w:rPr>
            </w:pPr>
            <w:r>
              <w:rPr>
                <w:sz w:val="15"/>
                <w:szCs w:val="15"/>
              </w:rPr>
              <w:t>指定匹配的TCP标志位</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Type-10</w:t>
            </w:r>
          </w:p>
        </w:tc>
        <w:tc>
          <w:tcPr>
            <w:tcW w:w="1296" w:type="dxa"/>
          </w:tcPr>
          <w:p>
            <w:pPr>
              <w:rPr>
                <w:sz w:val="15"/>
                <w:szCs w:val="15"/>
              </w:rPr>
            </w:pPr>
            <w:r>
              <w:rPr>
                <w:sz w:val="15"/>
                <w:szCs w:val="15"/>
              </w:rPr>
              <w:t>包长度</w:t>
            </w:r>
          </w:p>
        </w:tc>
        <w:tc>
          <w:tcPr>
            <w:tcW w:w="2046" w:type="dxa"/>
          </w:tcPr>
          <w:p>
            <w:pPr>
              <w:keepNext/>
              <w:rPr>
                <w:sz w:val="15"/>
                <w:szCs w:val="15"/>
              </w:rPr>
            </w:pPr>
            <w:r>
              <w:rPr>
                <w:sz w:val="15"/>
                <w:szCs w:val="15"/>
              </w:rPr>
              <w:t>指定匹配的数据包长度</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Type-11</w:t>
            </w:r>
          </w:p>
        </w:tc>
        <w:tc>
          <w:tcPr>
            <w:tcW w:w="1296" w:type="dxa"/>
          </w:tcPr>
          <w:p>
            <w:pPr>
              <w:rPr>
                <w:sz w:val="15"/>
                <w:szCs w:val="15"/>
              </w:rPr>
            </w:pPr>
            <w:r>
              <w:rPr>
                <w:sz w:val="15"/>
                <w:szCs w:val="15"/>
              </w:rPr>
              <w:t>DSCP值</w:t>
            </w:r>
          </w:p>
        </w:tc>
        <w:tc>
          <w:tcPr>
            <w:tcW w:w="2046" w:type="dxa"/>
          </w:tcPr>
          <w:p>
            <w:pPr>
              <w:keepNext/>
              <w:rPr>
                <w:sz w:val="15"/>
                <w:szCs w:val="15"/>
              </w:rPr>
            </w:pPr>
            <w:r>
              <w:rPr>
                <w:sz w:val="15"/>
                <w:szCs w:val="15"/>
              </w:rPr>
              <w:t>指定匹配的DSCP值</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rPr>
                <w:sz w:val="15"/>
                <w:szCs w:val="15"/>
              </w:rPr>
            </w:pPr>
            <w:r>
              <w:rPr>
                <w:sz w:val="15"/>
                <w:szCs w:val="15"/>
              </w:rPr>
              <w:t>Type-12</w:t>
            </w:r>
          </w:p>
        </w:tc>
        <w:tc>
          <w:tcPr>
            <w:tcW w:w="1296" w:type="dxa"/>
          </w:tcPr>
          <w:p>
            <w:pPr>
              <w:rPr>
                <w:sz w:val="15"/>
                <w:szCs w:val="15"/>
              </w:rPr>
            </w:pPr>
            <w:r>
              <w:rPr>
                <w:sz w:val="15"/>
                <w:szCs w:val="15"/>
              </w:rPr>
              <w:t>DSCP值</w:t>
            </w:r>
          </w:p>
        </w:tc>
        <w:tc>
          <w:tcPr>
            <w:tcW w:w="2046" w:type="dxa"/>
          </w:tcPr>
          <w:p>
            <w:pPr>
              <w:keepNext/>
              <w:rPr>
                <w:sz w:val="15"/>
                <w:szCs w:val="15"/>
              </w:rPr>
            </w:pPr>
            <w:r>
              <w:rPr>
                <w:sz w:val="15"/>
                <w:szCs w:val="15"/>
              </w:rPr>
              <w:t>指定匹配的分片标志</w:t>
            </w:r>
            <w:r>
              <w:rPr>
                <w:rFonts w:hint="eastAsia"/>
                <w:sz w:val="15"/>
                <w:szCs w:val="15"/>
              </w:rPr>
              <w:t>。</w:t>
            </w:r>
          </w:p>
        </w:tc>
      </w:tr>
    </w:tbl>
    <w:p/>
    <w:p>
      <w:pPr>
        <w:pStyle w:val="14"/>
        <w:numPr>
          <w:ilvl w:val="0"/>
          <w:numId w:val="4"/>
        </w:numPr>
        <w:ind w:firstLineChars="0"/>
      </w:pPr>
      <w:r>
        <w:t>IPv4 Flow Spec</w:t>
      </w:r>
      <w:r>
        <w:rPr>
          <w:rFonts w:hint="eastAsia"/>
        </w:rPr>
        <w:t>支持</w:t>
      </w:r>
      <w:r>
        <w:t>5种路由策略</w:t>
      </w:r>
      <w:r>
        <w:rPr>
          <w:rFonts w:hint="eastAsia"/>
        </w:rPr>
        <w:t>。</w:t>
      </w:r>
    </w:p>
    <w:p>
      <w:r>
        <w:drawing>
          <wp:inline distT="0" distB="0" distL="0" distR="0">
            <wp:extent cx="2235200" cy="1343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241230" cy="1346475"/>
                    </a:xfrm>
                    <a:prstGeom prst="rect">
                      <a:avLst/>
                    </a:prstGeom>
                  </pic:spPr>
                </pic:pic>
              </a:graphicData>
            </a:graphic>
          </wp:inline>
        </w:drawing>
      </w:r>
    </w:p>
    <w:p>
      <w:pPr>
        <w:widowControl/>
        <w:jc w:val="left"/>
      </w:pPr>
      <w:r>
        <w:br w:type="page"/>
      </w:r>
    </w:p>
    <w:p>
      <w:pPr>
        <w:pStyle w:val="14"/>
        <w:ind w:left="420" w:firstLine="0" w:firstLineChars="0"/>
      </w:pPr>
      <w:r>
        <w:rPr>
          <w:rFonts w:hint="eastAsia"/>
        </w:rPr>
        <w:t>每一种路由策略的具体作用如:</w:t>
      </w:r>
      <w:r>
        <w:t>3</w:t>
      </w:r>
      <w:r>
        <w:rPr>
          <w:rFonts w:hint="eastAsia"/>
        </w:rPr>
        <w:t>：</w:t>
      </w:r>
    </w:p>
    <w:p>
      <w:pPr>
        <w:pStyle w:val="14"/>
        <w:ind w:left="420" w:firstLine="0" w:firstLineChars="0"/>
      </w:pPr>
      <w:r>
        <w:rPr>
          <w:rFonts w:hint="eastAsia"/>
        </w:rPr>
        <w:t>表</w:t>
      </w:r>
      <w:r>
        <w:t>3 IPv4 Flow Spec</w:t>
      </w:r>
      <w:r>
        <w:rPr>
          <w:rFonts w:hint="eastAsia"/>
        </w:rPr>
        <w:t>支持的路由策略</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b/>
                <w:bCs/>
                <w:sz w:val="15"/>
                <w:szCs w:val="15"/>
              </w:rPr>
            </w:pPr>
            <w:r>
              <w:rPr>
                <w:rFonts w:hint="eastAsia"/>
                <w:b/>
                <w:bCs/>
                <w:sz w:val="15"/>
                <w:szCs w:val="15"/>
              </w:rPr>
              <w:t>Type类型</w:t>
            </w:r>
          </w:p>
        </w:tc>
        <w:tc>
          <w:tcPr>
            <w:tcW w:w="3827" w:type="dxa"/>
          </w:tcPr>
          <w:p>
            <w:pPr>
              <w:rPr>
                <w:b/>
                <w:bCs/>
                <w:sz w:val="15"/>
                <w:szCs w:val="15"/>
              </w:rPr>
            </w:pPr>
            <w:r>
              <w:rPr>
                <w:rFonts w:hint="eastAsia"/>
                <w:b/>
                <w:bCs/>
                <w:sz w:val="15"/>
                <w:szCs w:val="15"/>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Traffic Rate(0x8006)</w:t>
            </w:r>
          </w:p>
        </w:tc>
        <w:tc>
          <w:tcPr>
            <w:tcW w:w="3827" w:type="dxa"/>
          </w:tcPr>
          <w:p>
            <w:pPr>
              <w:rPr>
                <w:sz w:val="15"/>
                <w:szCs w:val="15"/>
              </w:rPr>
            </w:pPr>
            <w:r>
              <w:rPr>
                <w:rFonts w:hint="eastAsia"/>
                <w:sz w:val="15"/>
                <w:szCs w:val="15"/>
              </w:rPr>
              <w:t>流量限速动作。指定</w:t>
            </w:r>
            <w:r>
              <w:rPr>
                <w:sz w:val="15"/>
                <w:szCs w:val="15"/>
              </w:rPr>
              <w:t>AS号</w:t>
            </w:r>
            <w:r>
              <w:rPr>
                <w:rFonts w:hint="eastAsia"/>
                <w:sz w:val="15"/>
                <w:szCs w:val="15"/>
              </w:rPr>
              <w:t>和指定流量的最大传输速率。当配置为</w:t>
            </w:r>
            <w:r>
              <w:rPr>
                <w:sz w:val="15"/>
                <w:szCs w:val="15"/>
              </w:rPr>
              <w:t>0时对流量执行丢弃动作。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Traffic Action(0x8007)</w:t>
            </w:r>
          </w:p>
        </w:tc>
        <w:tc>
          <w:tcPr>
            <w:tcW w:w="3827" w:type="dxa"/>
          </w:tcPr>
          <w:p>
            <w:pPr>
              <w:keepNext/>
              <w:rPr>
                <w:sz w:val="15"/>
                <w:szCs w:val="15"/>
              </w:rPr>
            </w:pPr>
            <w:r>
              <w:rPr>
                <w:rFonts w:hint="eastAsia"/>
                <w:sz w:val="15"/>
                <w:szCs w:val="15"/>
              </w:rPr>
              <w:t>选中</w:t>
            </w:r>
            <w:r>
              <w:rPr>
                <w:sz w:val="15"/>
                <w:szCs w:val="15"/>
              </w:rPr>
              <w:t>Sample Bit</w:t>
            </w:r>
            <w:r>
              <w:rPr>
                <w:rFonts w:hint="eastAsia"/>
                <w:sz w:val="15"/>
                <w:szCs w:val="15"/>
              </w:rPr>
              <w:t>时启用流量抽样记录。选中</w:t>
            </w:r>
            <w:r>
              <w:rPr>
                <w:sz w:val="15"/>
                <w:szCs w:val="15"/>
              </w:rPr>
              <w:t>Terminate Bit</w:t>
            </w:r>
            <w:r>
              <w:rPr>
                <w:rFonts w:hint="eastAsia"/>
                <w:sz w:val="15"/>
                <w:szCs w:val="15"/>
              </w:rPr>
              <w:t>时撤销已生效的匹配规则。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Redirect(0x8008)</w:t>
            </w:r>
          </w:p>
        </w:tc>
        <w:tc>
          <w:tcPr>
            <w:tcW w:w="3827" w:type="dxa"/>
          </w:tcPr>
          <w:p>
            <w:pPr>
              <w:keepNext/>
              <w:rPr>
                <w:sz w:val="15"/>
                <w:szCs w:val="15"/>
              </w:rPr>
            </w:pPr>
            <w:r>
              <w:rPr>
                <w:rFonts w:hint="eastAsia"/>
                <w:sz w:val="15"/>
                <w:szCs w:val="15"/>
              </w:rPr>
              <w:t>流量重定向到指定的路由目标动作。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Traffic Marking(0x8009)</w:t>
            </w:r>
          </w:p>
        </w:tc>
        <w:tc>
          <w:tcPr>
            <w:tcW w:w="3827" w:type="dxa"/>
          </w:tcPr>
          <w:p>
            <w:pPr>
              <w:keepNext/>
              <w:rPr>
                <w:sz w:val="15"/>
                <w:szCs w:val="15"/>
              </w:rPr>
            </w:pPr>
            <w:r>
              <w:rPr>
                <w:rFonts w:hint="eastAsia"/>
                <w:sz w:val="15"/>
                <w:szCs w:val="15"/>
              </w:rPr>
              <w:t>重新标记报文</w:t>
            </w:r>
            <w:r>
              <w:rPr>
                <w:sz w:val="15"/>
                <w:szCs w:val="15"/>
              </w:rPr>
              <w:t>DSCP值的动作</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Redirect to IP Next Hop(0x010c)</w:t>
            </w:r>
          </w:p>
        </w:tc>
        <w:tc>
          <w:tcPr>
            <w:tcW w:w="3827" w:type="dxa"/>
          </w:tcPr>
          <w:p>
            <w:pPr>
              <w:keepNext/>
              <w:rPr>
                <w:sz w:val="15"/>
                <w:szCs w:val="15"/>
              </w:rPr>
            </w:pPr>
            <w:r>
              <w:rPr>
                <w:rFonts w:hint="eastAsia"/>
                <w:sz w:val="15"/>
                <w:szCs w:val="15"/>
              </w:rPr>
              <w:t>重定向到下一跳动作。选中</w:t>
            </w:r>
            <w:r>
              <w:rPr>
                <w:sz w:val="15"/>
                <w:szCs w:val="15"/>
              </w:rPr>
              <w:t>Copy Bit时，</w:t>
            </w:r>
            <w:r>
              <w:rPr>
                <w:rFonts w:hint="eastAsia"/>
                <w:sz w:val="15"/>
                <w:szCs w:val="15"/>
              </w:rPr>
              <w:t>会</w:t>
            </w:r>
            <w:r>
              <w:rPr>
                <w:sz w:val="15"/>
                <w:szCs w:val="15"/>
              </w:rPr>
              <w:t>复制一份规则匹配的流量，并执行重定向到下一跳动作。</w:t>
            </w:r>
          </w:p>
        </w:tc>
      </w:tr>
    </w:tbl>
    <w:p>
      <w:pPr>
        <w:pStyle w:val="14"/>
        <w:ind w:left="420" w:firstLine="0" w:firstLineChars="0"/>
      </w:pPr>
    </w:p>
    <w:p>
      <w:pPr>
        <w:pStyle w:val="14"/>
        <w:numPr>
          <w:ilvl w:val="0"/>
          <w:numId w:val="4"/>
        </w:numPr>
        <w:ind w:firstLineChars="0"/>
      </w:pPr>
      <w:r>
        <w:rPr>
          <w:rFonts w:hint="eastAsia"/>
        </w:rPr>
        <w:t>IPv6 Flow Spec支持2种匹配规则。</w:t>
      </w:r>
    </w:p>
    <w:p>
      <w:r>
        <w:drawing>
          <wp:inline distT="0" distB="0" distL="0" distR="0">
            <wp:extent cx="5274310" cy="8509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850900"/>
                    </a:xfrm>
                    <a:prstGeom prst="rect">
                      <a:avLst/>
                    </a:prstGeom>
                  </pic:spPr>
                </pic:pic>
              </a:graphicData>
            </a:graphic>
          </wp:inline>
        </w:drawing>
      </w:r>
    </w:p>
    <w:p>
      <w:pPr>
        <w:pStyle w:val="14"/>
        <w:ind w:left="420" w:firstLine="0" w:firstLineChars="0"/>
      </w:pPr>
      <w:r>
        <w:rPr>
          <w:rFonts w:hint="eastAsia"/>
        </w:rPr>
        <w:t>每一种规则具体匹配的内容如表4：</w:t>
      </w:r>
    </w:p>
    <w:p>
      <w:pPr>
        <w:pStyle w:val="14"/>
        <w:ind w:left="420" w:firstLine="0" w:firstLineChars="0"/>
      </w:pPr>
      <w:r>
        <w:rPr>
          <w:rFonts w:hint="eastAsia"/>
        </w:rPr>
        <w:t>表</w:t>
      </w:r>
      <w:r>
        <w:t>4 IPv6 Flow Spec</w:t>
      </w:r>
      <w:r>
        <w:rPr>
          <w:rFonts w:hint="eastAsia"/>
        </w:rPr>
        <w:t>支持的匹配规则</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41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b/>
                <w:bCs/>
                <w:sz w:val="15"/>
                <w:szCs w:val="15"/>
              </w:rPr>
            </w:pPr>
            <w:r>
              <w:rPr>
                <w:rFonts w:hint="eastAsia"/>
                <w:b/>
                <w:bCs/>
                <w:sz w:val="15"/>
                <w:szCs w:val="15"/>
              </w:rPr>
              <w:t>Type类型</w:t>
            </w:r>
          </w:p>
        </w:tc>
        <w:tc>
          <w:tcPr>
            <w:tcW w:w="1417" w:type="dxa"/>
          </w:tcPr>
          <w:p>
            <w:pPr>
              <w:rPr>
                <w:b/>
                <w:bCs/>
                <w:sz w:val="15"/>
                <w:szCs w:val="15"/>
              </w:rPr>
            </w:pPr>
            <w:r>
              <w:rPr>
                <w:rFonts w:hint="eastAsia"/>
                <w:b/>
                <w:bCs/>
                <w:sz w:val="15"/>
                <w:szCs w:val="15"/>
              </w:rPr>
              <w:t>匹配字段</w:t>
            </w:r>
          </w:p>
        </w:tc>
        <w:tc>
          <w:tcPr>
            <w:tcW w:w="2693" w:type="dxa"/>
          </w:tcPr>
          <w:p>
            <w:pPr>
              <w:rPr>
                <w:b/>
                <w:bCs/>
                <w:sz w:val="15"/>
                <w:szCs w:val="15"/>
              </w:rPr>
            </w:pPr>
            <w:r>
              <w:rPr>
                <w:rFonts w:hint="eastAsia"/>
                <w:b/>
                <w:bCs/>
                <w:sz w:val="15"/>
                <w:szCs w:val="15"/>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rPr>
                <w:sz w:val="15"/>
                <w:szCs w:val="15"/>
              </w:rPr>
            </w:pPr>
            <w:r>
              <w:rPr>
                <w:sz w:val="15"/>
                <w:szCs w:val="15"/>
              </w:rPr>
              <w:t>Destination Prefix</w:t>
            </w:r>
          </w:p>
        </w:tc>
        <w:tc>
          <w:tcPr>
            <w:tcW w:w="1417" w:type="dxa"/>
          </w:tcPr>
          <w:p>
            <w:pPr>
              <w:rPr>
                <w:sz w:val="15"/>
                <w:szCs w:val="15"/>
              </w:rPr>
            </w:pPr>
            <w:r>
              <w:rPr>
                <w:sz w:val="15"/>
                <w:szCs w:val="15"/>
              </w:rPr>
              <w:t>目的地址前缀</w:t>
            </w:r>
          </w:p>
        </w:tc>
        <w:tc>
          <w:tcPr>
            <w:tcW w:w="2693" w:type="dxa"/>
          </w:tcPr>
          <w:p>
            <w:pPr>
              <w:rPr>
                <w:sz w:val="15"/>
                <w:szCs w:val="15"/>
              </w:rPr>
            </w:pPr>
            <w:r>
              <w:rPr>
                <w:rFonts w:hint="eastAsia"/>
                <w:sz w:val="15"/>
                <w:szCs w:val="15"/>
              </w:rPr>
              <w:t>指定匹配的目的地址前缀。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sz w:val="15"/>
                <w:szCs w:val="15"/>
              </w:rPr>
            </w:pPr>
            <w:r>
              <w:rPr>
                <w:sz w:val="15"/>
                <w:szCs w:val="15"/>
              </w:rPr>
              <w:t>Source Prefix</w:t>
            </w:r>
          </w:p>
        </w:tc>
        <w:tc>
          <w:tcPr>
            <w:tcW w:w="1417" w:type="dxa"/>
          </w:tcPr>
          <w:p>
            <w:pPr>
              <w:rPr>
                <w:sz w:val="15"/>
                <w:szCs w:val="15"/>
              </w:rPr>
            </w:pPr>
            <w:r>
              <w:rPr>
                <w:sz w:val="15"/>
                <w:szCs w:val="15"/>
              </w:rPr>
              <w:t>源地址前缀</w:t>
            </w:r>
          </w:p>
        </w:tc>
        <w:tc>
          <w:tcPr>
            <w:tcW w:w="2693" w:type="dxa"/>
          </w:tcPr>
          <w:p>
            <w:pPr>
              <w:keepNext/>
              <w:rPr>
                <w:sz w:val="15"/>
                <w:szCs w:val="15"/>
              </w:rPr>
            </w:pPr>
            <w:r>
              <w:rPr>
                <w:rFonts w:hint="eastAsia"/>
                <w:sz w:val="15"/>
                <w:szCs w:val="15"/>
              </w:rPr>
              <w:t>指定匹配的源地址前缀。</w:t>
            </w:r>
          </w:p>
        </w:tc>
      </w:tr>
    </w:tbl>
    <w:p/>
    <w:p>
      <w:pPr>
        <w:pStyle w:val="14"/>
        <w:numPr>
          <w:ilvl w:val="0"/>
          <w:numId w:val="4"/>
        </w:numPr>
        <w:ind w:firstLineChars="0"/>
      </w:pPr>
      <w:r>
        <w:rPr>
          <w:rFonts w:hint="eastAsia"/>
        </w:rPr>
        <w:t>IPv6 Flow Spec支持</w:t>
      </w:r>
      <w:r>
        <w:t>4</w:t>
      </w:r>
      <w:r>
        <w:rPr>
          <w:rFonts w:hint="eastAsia"/>
        </w:rPr>
        <w:t>种路由策略。</w:t>
      </w:r>
    </w:p>
    <w:p>
      <w:r>
        <w:drawing>
          <wp:inline distT="0" distB="0" distL="0" distR="0">
            <wp:extent cx="3724910" cy="2073910"/>
            <wp:effectExtent l="0" t="0" r="889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3753673" cy="2090144"/>
                    </a:xfrm>
                    <a:prstGeom prst="rect">
                      <a:avLst/>
                    </a:prstGeom>
                  </pic:spPr>
                </pic:pic>
              </a:graphicData>
            </a:graphic>
          </wp:inline>
        </w:drawing>
      </w:r>
    </w:p>
    <w:p>
      <w:pPr>
        <w:pStyle w:val="14"/>
        <w:ind w:left="420" w:firstLine="0" w:firstLineChars="0"/>
      </w:pPr>
      <w:r>
        <w:rPr>
          <w:rFonts w:hint="eastAsia"/>
        </w:rPr>
        <w:t>每一种路由策略的具体作用如表</w:t>
      </w:r>
      <w:r>
        <w:t>5</w:t>
      </w:r>
      <w:r>
        <w:rPr>
          <w:rFonts w:hint="eastAsia"/>
        </w:rPr>
        <w:t>：</w:t>
      </w:r>
    </w:p>
    <w:p>
      <w:pPr>
        <w:pStyle w:val="14"/>
        <w:ind w:left="420" w:firstLine="0" w:firstLineChars="0"/>
      </w:pPr>
      <w:r>
        <w:rPr>
          <w:rFonts w:hint="eastAsia"/>
        </w:rPr>
        <w:t>表</w:t>
      </w:r>
      <w:r>
        <w:t>5 IPv6 Flow Spec</w:t>
      </w:r>
      <w:r>
        <w:rPr>
          <w:rFonts w:hint="eastAsia"/>
        </w:rPr>
        <w:t>支持的路由策略</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b/>
                <w:bCs/>
                <w:sz w:val="15"/>
                <w:szCs w:val="15"/>
              </w:rPr>
            </w:pPr>
            <w:r>
              <w:rPr>
                <w:rFonts w:hint="eastAsia"/>
                <w:b/>
                <w:bCs/>
                <w:sz w:val="15"/>
                <w:szCs w:val="15"/>
              </w:rPr>
              <w:t>Type类型</w:t>
            </w:r>
          </w:p>
        </w:tc>
        <w:tc>
          <w:tcPr>
            <w:tcW w:w="3827" w:type="dxa"/>
          </w:tcPr>
          <w:p>
            <w:pPr>
              <w:rPr>
                <w:b/>
                <w:bCs/>
                <w:sz w:val="15"/>
                <w:szCs w:val="15"/>
              </w:rPr>
            </w:pPr>
            <w:r>
              <w:rPr>
                <w:rFonts w:hint="eastAsia"/>
                <w:b/>
                <w:bCs/>
                <w:sz w:val="15"/>
                <w:szCs w:val="15"/>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Traffic Rate(0x8006)</w:t>
            </w:r>
          </w:p>
        </w:tc>
        <w:tc>
          <w:tcPr>
            <w:tcW w:w="3827" w:type="dxa"/>
          </w:tcPr>
          <w:p>
            <w:pPr>
              <w:rPr>
                <w:sz w:val="15"/>
                <w:szCs w:val="15"/>
              </w:rPr>
            </w:pPr>
            <w:r>
              <w:rPr>
                <w:rFonts w:hint="eastAsia"/>
                <w:sz w:val="15"/>
                <w:szCs w:val="15"/>
              </w:rPr>
              <w:t>流量限速动作。指定</w:t>
            </w:r>
            <w:r>
              <w:rPr>
                <w:sz w:val="15"/>
                <w:szCs w:val="15"/>
              </w:rPr>
              <w:t>AS号</w:t>
            </w:r>
            <w:r>
              <w:rPr>
                <w:rFonts w:hint="eastAsia"/>
                <w:sz w:val="15"/>
                <w:szCs w:val="15"/>
              </w:rPr>
              <w:t>和指定流量的最大传输速率。当配置为</w:t>
            </w:r>
            <w:r>
              <w:rPr>
                <w:sz w:val="15"/>
                <w:szCs w:val="15"/>
              </w:rPr>
              <w:t>0时对流量执行丢弃动作。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Traffic Action(0x8007)</w:t>
            </w:r>
          </w:p>
        </w:tc>
        <w:tc>
          <w:tcPr>
            <w:tcW w:w="3827" w:type="dxa"/>
          </w:tcPr>
          <w:p>
            <w:pPr>
              <w:keepNext/>
              <w:rPr>
                <w:sz w:val="15"/>
                <w:szCs w:val="15"/>
              </w:rPr>
            </w:pPr>
            <w:r>
              <w:rPr>
                <w:rFonts w:hint="eastAsia"/>
                <w:sz w:val="15"/>
                <w:szCs w:val="15"/>
              </w:rPr>
              <w:t>选中</w:t>
            </w:r>
            <w:r>
              <w:rPr>
                <w:sz w:val="15"/>
                <w:szCs w:val="15"/>
              </w:rPr>
              <w:t>Sample Bit</w:t>
            </w:r>
            <w:r>
              <w:rPr>
                <w:rFonts w:hint="eastAsia"/>
                <w:sz w:val="15"/>
                <w:szCs w:val="15"/>
              </w:rPr>
              <w:t>时启用流量抽样记录。选中</w:t>
            </w:r>
            <w:r>
              <w:rPr>
                <w:sz w:val="15"/>
                <w:szCs w:val="15"/>
              </w:rPr>
              <w:t>Terminate Bit</w:t>
            </w:r>
            <w:r>
              <w:rPr>
                <w:rFonts w:hint="eastAsia"/>
                <w:sz w:val="15"/>
                <w:szCs w:val="15"/>
              </w:rPr>
              <w:t>时撤销已生效的匹配规则。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Redirect(0x8008)</w:t>
            </w:r>
          </w:p>
        </w:tc>
        <w:tc>
          <w:tcPr>
            <w:tcW w:w="3827" w:type="dxa"/>
          </w:tcPr>
          <w:p>
            <w:pPr>
              <w:keepNext/>
              <w:rPr>
                <w:sz w:val="15"/>
                <w:szCs w:val="15"/>
              </w:rPr>
            </w:pPr>
            <w:r>
              <w:rPr>
                <w:rFonts w:hint="eastAsia"/>
                <w:sz w:val="15"/>
                <w:szCs w:val="15"/>
              </w:rPr>
              <w:t>流量重定向到指定的路由目标动作。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Redirect to IP</w:t>
            </w:r>
            <w:r>
              <w:rPr>
                <w:rFonts w:hint="eastAsia"/>
                <w:sz w:val="15"/>
                <w:szCs w:val="15"/>
              </w:rPr>
              <w:t>v6</w:t>
            </w:r>
            <w:r>
              <w:rPr>
                <w:sz w:val="15"/>
                <w:szCs w:val="15"/>
              </w:rPr>
              <w:t xml:space="preserve"> Next Hop(0x0800)</w:t>
            </w:r>
          </w:p>
        </w:tc>
        <w:tc>
          <w:tcPr>
            <w:tcW w:w="3827" w:type="dxa"/>
          </w:tcPr>
          <w:p>
            <w:pPr>
              <w:keepNext/>
              <w:rPr>
                <w:sz w:val="15"/>
                <w:szCs w:val="15"/>
              </w:rPr>
            </w:pPr>
            <w:r>
              <w:rPr>
                <w:rFonts w:hint="eastAsia"/>
                <w:sz w:val="15"/>
                <w:szCs w:val="15"/>
              </w:rPr>
              <w:t>重定向到下一跳动作。选中</w:t>
            </w:r>
            <w:r>
              <w:rPr>
                <w:sz w:val="15"/>
                <w:szCs w:val="15"/>
              </w:rPr>
              <w:t>Copy Bit时，</w:t>
            </w:r>
            <w:r>
              <w:rPr>
                <w:rFonts w:hint="eastAsia"/>
                <w:sz w:val="15"/>
                <w:szCs w:val="15"/>
              </w:rPr>
              <w:t>会</w:t>
            </w:r>
            <w:r>
              <w:rPr>
                <w:sz w:val="15"/>
                <w:szCs w:val="15"/>
              </w:rPr>
              <w:t>复制一份规则匹配的流量，并执行重定向到下一跳动作。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sz w:val="15"/>
                <w:szCs w:val="15"/>
              </w:rPr>
            </w:pPr>
            <w:r>
              <w:rPr>
                <w:sz w:val="15"/>
                <w:szCs w:val="15"/>
              </w:rPr>
              <w:t>Redirect to IPv6 Next Hop(0x000c)</w:t>
            </w:r>
          </w:p>
        </w:tc>
        <w:tc>
          <w:tcPr>
            <w:tcW w:w="3827" w:type="dxa"/>
          </w:tcPr>
          <w:p>
            <w:pPr>
              <w:keepNext/>
              <w:rPr>
                <w:sz w:val="15"/>
                <w:szCs w:val="15"/>
              </w:rPr>
            </w:pPr>
            <w:r>
              <w:rPr>
                <w:rFonts w:hint="eastAsia"/>
                <w:sz w:val="15"/>
                <w:szCs w:val="15"/>
              </w:rPr>
              <w:t>重定向到下一跳动作。选中</w:t>
            </w:r>
            <w:r>
              <w:rPr>
                <w:sz w:val="15"/>
                <w:szCs w:val="15"/>
              </w:rPr>
              <w:t>Copy Bit时，</w:t>
            </w:r>
            <w:r>
              <w:rPr>
                <w:rFonts w:hint="eastAsia"/>
                <w:sz w:val="15"/>
                <w:szCs w:val="15"/>
              </w:rPr>
              <w:t>会</w:t>
            </w:r>
            <w:r>
              <w:rPr>
                <w:sz w:val="15"/>
                <w:szCs w:val="15"/>
              </w:rPr>
              <w:t>复制一份规则匹配的流量，并执行重定向到下一跳动作。</w:t>
            </w:r>
          </w:p>
        </w:tc>
      </w:tr>
    </w:tbl>
    <w:p>
      <w:pPr>
        <w:pStyle w:val="14"/>
        <w:numPr>
          <w:ilvl w:val="0"/>
          <w:numId w:val="4"/>
        </w:numPr>
        <w:ind w:firstLineChars="0"/>
      </w:pPr>
      <w:r>
        <w:t>SubAFI</w:t>
      </w:r>
      <w:r>
        <w:rPr>
          <w:rFonts w:hint="eastAsia"/>
        </w:rPr>
        <w:t>支持</w:t>
      </w:r>
      <w:r>
        <w:t>配置为FlowSpecVpn</w:t>
      </w:r>
      <w:r>
        <w:rPr>
          <w:rFonts w:hint="eastAsia"/>
        </w:rPr>
        <w:t>。</w:t>
      </w:r>
    </w:p>
    <w:p>
      <w:pPr>
        <w:pStyle w:val="14"/>
        <w:ind w:left="420" w:firstLine="0" w:firstLineChars="0"/>
      </w:pPr>
      <w:r>
        <w:rPr>
          <w:rFonts w:hint="eastAsia"/>
        </w:rPr>
        <w:t>将</w:t>
      </w:r>
      <w:r>
        <w:t>SubAFI配置为FlowSpecVpn时，</w:t>
      </w:r>
      <w:r>
        <w:rPr>
          <w:rFonts w:hint="eastAsia"/>
        </w:rPr>
        <w:t>可以</w:t>
      </w:r>
      <w:r>
        <w:t>配置</w:t>
      </w:r>
      <w:r>
        <w:rPr>
          <w:rFonts w:hint="eastAsia"/>
        </w:rPr>
        <w:t>VRF的相关</w:t>
      </w:r>
      <w:r>
        <w:t>参数</w:t>
      </w:r>
      <w:r>
        <w:rPr>
          <w:rFonts w:hint="eastAsia"/>
        </w:rPr>
        <w:t>，如指定</w:t>
      </w:r>
      <w:r>
        <w:t>VRF路由目标</w:t>
      </w:r>
      <w:r>
        <w:rPr>
          <w:rFonts w:hint="eastAsia"/>
        </w:rPr>
        <w:t>、</w:t>
      </w:r>
      <w:r>
        <w:t>指定VRF路由标识符</w:t>
      </w:r>
      <w:r>
        <w:rPr>
          <w:rFonts w:hint="eastAsia"/>
        </w:rPr>
        <w:t>等配置</w:t>
      </w:r>
      <w:r>
        <w:t xml:space="preserve">。 </w:t>
      </w:r>
    </w:p>
    <w:p>
      <w:r>
        <w:drawing>
          <wp:inline distT="0" distB="0" distL="0" distR="0">
            <wp:extent cx="5274310" cy="7918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791845"/>
                    </a:xfrm>
                    <a:prstGeom prst="rect">
                      <a:avLst/>
                    </a:prstGeom>
                  </pic:spPr>
                </pic:pic>
              </a:graphicData>
            </a:graphic>
          </wp:inline>
        </w:drawing>
      </w:r>
    </w:p>
    <w:p>
      <w:r>
        <w:drawing>
          <wp:inline distT="0" distB="0" distL="0" distR="0">
            <wp:extent cx="5274310" cy="8216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821690"/>
                    </a:xfrm>
                    <a:prstGeom prst="rect">
                      <a:avLst/>
                    </a:prstGeom>
                  </pic:spPr>
                </pic:pic>
              </a:graphicData>
            </a:graphic>
          </wp:inline>
        </w:drawing>
      </w:r>
    </w:p>
    <w:p>
      <w:pPr>
        <w:pStyle w:val="14"/>
        <w:numPr>
          <w:ilvl w:val="0"/>
          <w:numId w:val="4"/>
        </w:numPr>
        <w:ind w:firstLineChars="0"/>
      </w:pPr>
      <w:r>
        <w:rPr>
          <w:rFonts w:hint="eastAsia"/>
        </w:rPr>
        <w:t>支持配置</w:t>
      </w:r>
      <w:r>
        <w:t>Multi Exit Discriminator</w:t>
      </w:r>
      <w:r>
        <w:rPr>
          <w:rFonts w:hint="eastAsia"/>
        </w:rPr>
        <w:t>、</w:t>
      </w:r>
      <w:r>
        <w:t>Local Preference</w:t>
      </w:r>
      <w:r>
        <w:rPr>
          <w:rFonts w:hint="eastAsia"/>
        </w:rPr>
        <w:t>、</w:t>
      </w:r>
      <w:r>
        <w:t>Cluster ID List</w:t>
      </w:r>
      <w:r>
        <w:rPr>
          <w:rFonts w:hint="eastAsia"/>
        </w:rPr>
        <w:t>等参数。</w:t>
      </w:r>
    </w:p>
    <w:p>
      <w:pPr>
        <w:pStyle w:val="14"/>
        <w:ind w:left="420" w:firstLine="0" w:firstLineChars="0"/>
      </w:pPr>
      <w:r>
        <w:rPr>
          <w:rFonts w:hint="eastAsia"/>
        </w:rPr>
        <w:t>当使能</w:t>
      </w:r>
      <w:r>
        <w:t>Multi Exit Discriminator为选中状态时配置MULTI_EXIT_DISC属性；</w:t>
      </w:r>
      <w:r>
        <w:rPr>
          <w:rFonts w:hint="eastAsia"/>
        </w:rPr>
        <w:t>当</w:t>
      </w:r>
      <w:r>
        <w:t>Enable Local preference为选中状态时配置Local_PREF的值；当仿真路由器作为BGP路由反射器时配置uster ID list的值。</w:t>
      </w:r>
    </w:p>
    <w:p>
      <w:r>
        <w:drawing>
          <wp:inline distT="0" distB="0" distL="0" distR="0">
            <wp:extent cx="5274310" cy="121729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1217295"/>
                    </a:xfrm>
                    <a:prstGeom prst="rect">
                      <a:avLst/>
                    </a:prstGeom>
                  </pic:spPr>
                </pic:pic>
              </a:graphicData>
            </a:graphic>
          </wp:inline>
        </w:drawing>
      </w:r>
    </w:p>
    <w:p>
      <w:pPr>
        <w:pStyle w:val="14"/>
        <w:numPr>
          <w:ilvl w:val="0"/>
          <w:numId w:val="4"/>
        </w:numPr>
        <w:ind w:firstLineChars="0"/>
      </w:pPr>
      <w:r>
        <w:rPr>
          <w:rFonts w:hint="eastAsia"/>
        </w:rPr>
        <w:t>支持查看学到的</w:t>
      </w:r>
      <w:r>
        <w:t>Flow Spec路由策略和匹配规则</w:t>
      </w:r>
      <w:r>
        <w:rPr>
          <w:rFonts w:hint="eastAsia"/>
        </w:rPr>
        <w:t>。</w:t>
      </w:r>
    </w:p>
    <w:p>
      <w:pPr>
        <w:pStyle w:val="14"/>
        <w:ind w:left="420" w:firstLine="0" w:firstLineChars="0"/>
      </w:pPr>
      <w:r>
        <w:t>BGP会话使能查看路由，运行测试，点击查看BGP路由，可以查看学到的Flow Spec路由策略和匹配规则</w:t>
      </w:r>
    </w:p>
    <w:p>
      <w:r>
        <w:drawing>
          <wp:inline distT="0" distB="0" distL="0" distR="0">
            <wp:extent cx="5274310" cy="1983740"/>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5274310" cy="1983740"/>
                    </a:xfrm>
                    <a:prstGeom prst="rect">
                      <a:avLst/>
                    </a:prstGeom>
                  </pic:spPr>
                </pic:pic>
              </a:graphicData>
            </a:graphic>
          </wp:inline>
        </w:drawing>
      </w:r>
    </w:p>
    <w:p>
      <w:pPr>
        <w:pStyle w:val="2"/>
      </w:pPr>
      <w:r>
        <w:rPr>
          <w:rFonts w:hint="eastAsia"/>
        </w:rPr>
        <w:t>BGP</w:t>
      </w:r>
      <w:r>
        <w:t xml:space="preserve"> </w:t>
      </w:r>
      <w:r>
        <w:rPr>
          <w:rFonts w:hint="eastAsia"/>
        </w:rPr>
        <w:t>Flow</w:t>
      </w:r>
      <w:r>
        <w:t xml:space="preserve"> </w:t>
      </w:r>
      <w:r>
        <w:rPr>
          <w:rFonts w:hint="eastAsia"/>
        </w:rPr>
        <w:t>Spec测试示例</w:t>
      </w:r>
    </w:p>
    <w:p>
      <w:r>
        <w:rPr>
          <w:rFonts w:hint="eastAsia"/>
        </w:rPr>
        <w:t>说完Renix平台BGP</w:t>
      </w:r>
      <w:r>
        <w:t xml:space="preserve"> Flow Spec</w:t>
      </w:r>
      <w:r>
        <w:rPr>
          <w:rFonts w:hint="eastAsia"/>
        </w:rPr>
        <w:t>的相关配置之后，接下来以</w:t>
      </w:r>
      <w:r>
        <w:t>BGP F</w:t>
      </w:r>
      <w:r>
        <w:rPr>
          <w:rFonts w:hint="eastAsia"/>
        </w:rPr>
        <w:t>low</w:t>
      </w:r>
      <w:r>
        <w:t xml:space="preserve"> Spec防攻击</w:t>
      </w:r>
      <w:r>
        <w:rPr>
          <w:rFonts w:hint="eastAsia"/>
        </w:rPr>
        <w:t>测试为例，演示如何使用Renix平台进行测试。主要是在测试仪A、B端口之间建立正常业务流量和攻击流量，对比设备在使能BGP</w:t>
      </w:r>
      <w:r>
        <w:t xml:space="preserve"> </w:t>
      </w:r>
      <w:r>
        <w:rPr>
          <w:rFonts w:hint="eastAsia"/>
        </w:rPr>
        <w:t>Flow</w:t>
      </w:r>
      <w:r>
        <w:t xml:space="preserve"> </w:t>
      </w:r>
      <w:r>
        <w:rPr>
          <w:rFonts w:hint="eastAsia"/>
        </w:rPr>
        <w:t>Spec功能前后流量的收发情况，验证被测设备</w:t>
      </w:r>
      <w:r>
        <w:t xml:space="preserve">BGP </w:t>
      </w:r>
      <w:r>
        <w:rPr>
          <w:rFonts w:hint="eastAsia"/>
        </w:rPr>
        <w:t>Flow</w:t>
      </w:r>
      <w:r>
        <w:t xml:space="preserve"> </w:t>
      </w:r>
      <w:r>
        <w:rPr>
          <w:rFonts w:hint="eastAsia"/>
        </w:rPr>
        <w:t>Spec</w:t>
      </w:r>
      <w:r>
        <w:t>功能</w:t>
      </w:r>
      <w:r>
        <w:rPr>
          <w:rFonts w:hint="eastAsia"/>
        </w:rPr>
        <w:t>。</w:t>
      </w:r>
    </w:p>
    <w:p>
      <w:r>
        <w:rPr>
          <w:rFonts w:hint="eastAsia"/>
        </w:rPr>
        <w:t>主要步骤如下</w:t>
      </w:r>
    </w:p>
    <w:p>
      <w:pPr>
        <w:pStyle w:val="14"/>
        <w:numPr>
          <w:ilvl w:val="0"/>
          <w:numId w:val="5"/>
        </w:numPr>
        <w:ind w:firstLineChars="0"/>
      </w:pPr>
      <w:r>
        <w:rPr>
          <w:rFonts w:hint="eastAsia"/>
        </w:rPr>
        <w:t>按照如下测试拓扑进行组网：</w:t>
      </w:r>
    </w:p>
    <w:p>
      <w:pPr>
        <w:pStyle w:val="14"/>
        <w:ind w:left="420" w:firstLine="0" w:firstLineChars="0"/>
      </w:pPr>
      <w:r>
        <w:t>DUT1和DUT2建立双栈IBGP，DUT2为路由反射器，DUT1为客户端</w:t>
      </w:r>
    </w:p>
    <w:p>
      <w:r>
        <w:object>
          <v:shape id="_x0000_i1025" o:spt="75" type="#_x0000_t75" style="height:258.95pt;width:277.0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pStyle w:val="14"/>
        <w:numPr>
          <w:ilvl w:val="0"/>
          <w:numId w:val="5"/>
        </w:numPr>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在测试仪表</w:t>
      </w:r>
      <w:r>
        <w:rPr>
          <w:rFonts w:ascii="宋体" w:hAnsi="宋体" w:eastAsia="宋体" w:cs="宋体"/>
          <w:color w:val="000000"/>
          <w:kern w:val="0"/>
          <w:sz w:val="24"/>
          <w:szCs w:val="24"/>
        </w:rPr>
        <w:t>A、B端口之间构造3条IPv4流量：第1条流为正常业务流，源IP为100.1.1.2，目的IP为200.1.1.254（测试仪端口B），目的端口80；第2条流模拟ICMP FLOOD攻击，目的地址为200.1.1.254；第3条流模拟TCP SYNFLOOD攻击，源IP为100.1.1.133, 目的IP为200.1.1.254，目的端口80。</w:t>
      </w:r>
    </w:p>
    <w:p>
      <w:pPr>
        <w:rPr>
          <w:rFonts w:ascii="宋体" w:hAnsi="宋体" w:eastAsia="宋体" w:cs="宋体"/>
          <w:color w:val="000000"/>
          <w:kern w:val="0"/>
          <w:sz w:val="24"/>
          <w:szCs w:val="24"/>
        </w:rPr>
      </w:pPr>
      <w:r>
        <w:drawing>
          <wp:inline distT="0" distB="0" distL="0" distR="0">
            <wp:extent cx="5274310" cy="7893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789305"/>
                    </a:xfrm>
                    <a:prstGeom prst="rect">
                      <a:avLst/>
                    </a:prstGeom>
                  </pic:spPr>
                </pic:pic>
              </a:graphicData>
            </a:graphic>
          </wp:inline>
        </w:drawing>
      </w:r>
    </w:p>
    <w:p>
      <w:pPr>
        <w:pStyle w:val="14"/>
        <w:numPr>
          <w:ilvl w:val="0"/>
          <w:numId w:val="5"/>
        </w:numPr>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发送所有流量，在测试仪</w:t>
      </w:r>
      <w:r>
        <w:rPr>
          <w:rFonts w:ascii="宋体" w:hAnsi="宋体" w:eastAsia="宋体" w:cs="宋体"/>
          <w:color w:val="000000"/>
          <w:kern w:val="0"/>
          <w:sz w:val="24"/>
          <w:szCs w:val="24"/>
        </w:rPr>
        <w:t>B端口</w:t>
      </w:r>
      <w:r>
        <w:rPr>
          <w:rFonts w:hint="eastAsia" w:ascii="宋体" w:hAnsi="宋体" w:eastAsia="宋体" w:cs="宋体"/>
          <w:color w:val="000000"/>
          <w:kern w:val="0"/>
          <w:sz w:val="24"/>
          <w:szCs w:val="24"/>
        </w:rPr>
        <w:t>可</w:t>
      </w:r>
      <w:r>
        <w:rPr>
          <w:rFonts w:ascii="宋体" w:hAnsi="宋体" w:eastAsia="宋体" w:cs="宋体"/>
          <w:color w:val="000000"/>
          <w:kern w:val="0"/>
          <w:sz w:val="24"/>
          <w:szCs w:val="24"/>
        </w:rPr>
        <w:t>以正常收到所有流量</w:t>
      </w:r>
      <w:r>
        <w:rPr>
          <w:rFonts w:hint="eastAsia" w:ascii="宋体" w:hAnsi="宋体" w:eastAsia="宋体" w:cs="宋体"/>
          <w:color w:val="000000"/>
          <w:kern w:val="0"/>
          <w:sz w:val="24"/>
          <w:szCs w:val="24"/>
        </w:rPr>
        <w:t>。</w:t>
      </w:r>
    </w:p>
    <w:p>
      <w:pPr>
        <w:rPr>
          <w:rFonts w:ascii="宋体" w:hAnsi="宋体" w:eastAsia="宋体" w:cs="宋体"/>
          <w:color w:val="000000"/>
          <w:kern w:val="0"/>
          <w:sz w:val="24"/>
          <w:szCs w:val="24"/>
        </w:rPr>
      </w:pPr>
      <w:r>
        <w:drawing>
          <wp:inline distT="0" distB="0" distL="0" distR="0">
            <wp:extent cx="4234815" cy="1044575"/>
            <wp:effectExtent l="0" t="0" r="0" b="317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7"/>
                    <a:stretch>
                      <a:fillRect/>
                    </a:stretch>
                  </pic:blipFill>
                  <pic:spPr>
                    <a:xfrm>
                      <a:off x="0" y="0"/>
                      <a:ext cx="4234815" cy="1044575"/>
                    </a:xfrm>
                    <a:prstGeom prst="rect">
                      <a:avLst/>
                    </a:prstGeom>
                  </pic:spPr>
                </pic:pic>
              </a:graphicData>
            </a:graphic>
          </wp:inline>
        </w:drawing>
      </w:r>
    </w:p>
    <w:p>
      <w:pPr>
        <w:pStyle w:val="14"/>
        <w:numPr>
          <w:ilvl w:val="0"/>
          <w:numId w:val="5"/>
        </w:numPr>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配置</w:t>
      </w:r>
      <w:r>
        <w:rPr>
          <w:rFonts w:ascii="宋体" w:hAnsi="宋体" w:eastAsia="宋体" w:cs="宋体"/>
          <w:color w:val="000000"/>
          <w:kern w:val="0"/>
          <w:sz w:val="24"/>
          <w:szCs w:val="24"/>
        </w:rPr>
        <w:t>DUT1和DUT2使能BGP FLOWSPEC功能。仪表端口C与DUT2建立BGP邻居关系，并通过BGP FLOWSPEC向DUT2配置流量信息，通告DUT1对步骤3中的ICMP/ND FLOOD、TCP SYNFLOOD和UDP FLOOD攻击流量进行过滤。对ICMP/ND FLOOD攻击进行阻断，对TCP/SYNFLOOD和UDP FLOOD攻击限制速度为10Mb/s。</w:t>
      </w:r>
    </w:p>
    <w:p>
      <w:pPr>
        <w:ind w:firstLine="420"/>
        <w:rPr>
          <w:rFonts w:ascii="宋体" w:hAnsi="宋体" w:eastAsia="宋体" w:cs="宋体"/>
          <w:color w:val="000000"/>
          <w:kern w:val="0"/>
          <w:sz w:val="24"/>
          <w:szCs w:val="24"/>
        </w:rPr>
      </w:pPr>
      <w:r>
        <w:rPr>
          <w:rFonts w:hint="eastAsia" w:ascii="宋体" w:hAnsi="宋体" w:eastAsia="宋体" w:cs="宋体"/>
          <w:color w:val="000000"/>
          <w:kern w:val="0"/>
          <w:sz w:val="24"/>
          <w:szCs w:val="24"/>
        </w:rPr>
        <w:t>测试仪C端口通告的BGP</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Flow</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Spec路由</w:t>
      </w:r>
    </w:p>
    <w:p>
      <w:pPr>
        <w:rPr>
          <w:rFonts w:ascii="宋体" w:hAnsi="宋体" w:eastAsia="宋体" w:cs="宋体"/>
          <w:color w:val="000000"/>
          <w:kern w:val="0"/>
          <w:sz w:val="24"/>
          <w:szCs w:val="24"/>
        </w:rPr>
      </w:pPr>
      <w:r>
        <w:drawing>
          <wp:inline distT="0" distB="0" distL="0" distR="0">
            <wp:extent cx="5274310" cy="174434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1744345"/>
                    </a:xfrm>
                    <a:prstGeom prst="rect">
                      <a:avLst/>
                    </a:prstGeom>
                  </pic:spPr>
                </pic:pic>
              </a:graphicData>
            </a:graphic>
          </wp:inline>
        </w:drawing>
      </w:r>
    </w:p>
    <w:p>
      <w:pPr>
        <w:ind w:firstLine="420"/>
        <w:rPr>
          <w:rFonts w:ascii="宋体" w:hAnsi="宋体" w:eastAsia="宋体" w:cs="宋体"/>
          <w:color w:val="000000"/>
          <w:kern w:val="0"/>
          <w:sz w:val="24"/>
          <w:szCs w:val="24"/>
        </w:rPr>
      </w:pPr>
      <w:r>
        <w:rPr>
          <w:rFonts w:hint="eastAsia" w:ascii="宋体" w:hAnsi="宋体" w:eastAsia="宋体" w:cs="宋体"/>
          <w:color w:val="000000"/>
          <w:kern w:val="0"/>
          <w:sz w:val="24"/>
          <w:szCs w:val="24"/>
        </w:rPr>
        <w:t>被测设备学习到的IPv</w:t>
      </w:r>
      <w:r>
        <w:rPr>
          <w:rFonts w:ascii="宋体" w:hAnsi="宋体" w:eastAsia="宋体" w:cs="宋体"/>
          <w:color w:val="000000"/>
          <w:kern w:val="0"/>
          <w:sz w:val="24"/>
          <w:szCs w:val="24"/>
        </w:rPr>
        <w:t xml:space="preserve">4 </w:t>
      </w:r>
      <w:r>
        <w:rPr>
          <w:rFonts w:hint="eastAsia" w:ascii="宋体" w:hAnsi="宋体" w:eastAsia="宋体" w:cs="宋体"/>
          <w:color w:val="000000"/>
          <w:kern w:val="0"/>
          <w:sz w:val="24"/>
          <w:szCs w:val="24"/>
        </w:rPr>
        <w:t>BGP</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Flow</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Spec路由信息</w:t>
      </w:r>
    </w:p>
    <w:p>
      <w:pPr>
        <w:rPr>
          <w:rFonts w:ascii="宋体" w:hAnsi="宋体" w:eastAsia="宋体" w:cs="宋体"/>
          <w:color w:val="000000"/>
          <w:kern w:val="0"/>
          <w:sz w:val="24"/>
          <w:szCs w:val="24"/>
        </w:rPr>
      </w:pPr>
      <w:r>
        <w:drawing>
          <wp:inline distT="0" distB="0" distL="0" distR="0">
            <wp:extent cx="4141470" cy="286321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9"/>
                    <a:stretch>
                      <a:fillRect/>
                    </a:stretch>
                  </pic:blipFill>
                  <pic:spPr>
                    <a:xfrm>
                      <a:off x="0" y="0"/>
                      <a:ext cx="4170459" cy="2882863"/>
                    </a:xfrm>
                    <a:prstGeom prst="rect">
                      <a:avLst/>
                    </a:prstGeom>
                  </pic:spPr>
                </pic:pic>
              </a:graphicData>
            </a:graphic>
          </wp:inline>
        </w:drawing>
      </w:r>
    </w:p>
    <w:p>
      <w:pPr>
        <w:rPr>
          <w:rFonts w:ascii="宋体" w:hAnsi="宋体" w:eastAsia="宋体" w:cs="宋体"/>
          <w:color w:val="000000"/>
          <w:kern w:val="0"/>
          <w:sz w:val="24"/>
          <w:szCs w:val="24"/>
        </w:rPr>
      </w:pPr>
      <w:r>
        <w:drawing>
          <wp:inline distT="0" distB="0" distL="0" distR="0">
            <wp:extent cx="4543425" cy="1719580"/>
            <wp:effectExtent l="0" t="0" r="9525"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20"/>
                    <a:stretch>
                      <a:fillRect/>
                    </a:stretch>
                  </pic:blipFill>
                  <pic:spPr>
                    <a:xfrm>
                      <a:off x="0" y="0"/>
                      <a:ext cx="4556716" cy="1724569"/>
                    </a:xfrm>
                    <a:prstGeom prst="rect">
                      <a:avLst/>
                    </a:prstGeom>
                  </pic:spPr>
                </pic:pic>
              </a:graphicData>
            </a:graphic>
          </wp:inline>
        </w:drawing>
      </w:r>
    </w:p>
    <w:p>
      <w:pPr>
        <w:rPr>
          <w:rFonts w:ascii="宋体" w:hAnsi="宋体" w:eastAsia="宋体" w:cs="宋体"/>
          <w:color w:val="000000"/>
          <w:kern w:val="0"/>
          <w:sz w:val="24"/>
          <w:szCs w:val="24"/>
        </w:rPr>
      </w:pPr>
      <w:r>
        <w:drawing>
          <wp:inline distT="0" distB="0" distL="0" distR="0">
            <wp:extent cx="3630295" cy="1764030"/>
            <wp:effectExtent l="0" t="0" r="8255"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1"/>
                    <a:stretch>
                      <a:fillRect/>
                    </a:stretch>
                  </pic:blipFill>
                  <pic:spPr>
                    <a:xfrm>
                      <a:off x="0" y="0"/>
                      <a:ext cx="3656530" cy="1777000"/>
                    </a:xfrm>
                    <a:prstGeom prst="rect">
                      <a:avLst/>
                    </a:prstGeom>
                  </pic:spPr>
                </pic:pic>
              </a:graphicData>
            </a:graphic>
          </wp:inline>
        </w:drawing>
      </w:r>
    </w:p>
    <w:p>
      <w:pPr>
        <w:pStyle w:val="14"/>
        <w:numPr>
          <w:ilvl w:val="0"/>
          <w:numId w:val="5"/>
        </w:numPr>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再次发送建立的3条IPv</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流量，可以看到IPv</w:t>
      </w:r>
      <w:r>
        <w:rPr>
          <w:rFonts w:ascii="宋体" w:hAnsi="宋体" w:eastAsia="宋体" w:cs="宋体"/>
          <w:color w:val="000000"/>
          <w:kern w:val="0"/>
          <w:sz w:val="24"/>
          <w:szCs w:val="24"/>
        </w:rPr>
        <w:t>4正常业务流量收发一致且能正常重定向到</w:t>
      </w:r>
      <w:r>
        <w:rPr>
          <w:rFonts w:hint="eastAsia" w:ascii="宋体" w:hAnsi="宋体" w:eastAsia="宋体" w:cs="宋体"/>
          <w:color w:val="000000"/>
          <w:kern w:val="0"/>
          <w:sz w:val="24"/>
          <w:szCs w:val="24"/>
        </w:rPr>
        <w:t>P</w:t>
      </w:r>
      <w:r>
        <w:rPr>
          <w:rFonts w:ascii="宋体" w:hAnsi="宋体" w:eastAsia="宋体" w:cs="宋体"/>
          <w:color w:val="000000"/>
          <w:kern w:val="0"/>
          <w:sz w:val="24"/>
          <w:szCs w:val="24"/>
        </w:rPr>
        <w:t>ort TCC</w:t>
      </w:r>
      <w:r>
        <w:rPr>
          <w:rFonts w:hint="eastAsia" w:ascii="宋体" w:hAnsi="宋体" w:eastAsia="宋体" w:cs="宋体"/>
          <w:color w:val="000000"/>
          <w:kern w:val="0"/>
          <w:sz w:val="24"/>
          <w:szCs w:val="24"/>
        </w:rPr>
        <w:t>，ICMP</w:t>
      </w:r>
      <w:r>
        <w:rPr>
          <w:rFonts w:ascii="宋体" w:hAnsi="宋体" w:eastAsia="宋体" w:cs="宋体"/>
          <w:color w:val="000000"/>
          <w:kern w:val="0"/>
          <w:sz w:val="24"/>
          <w:szCs w:val="24"/>
        </w:rPr>
        <w:t>攻击流量不通，</w:t>
      </w:r>
      <w:r>
        <w:rPr>
          <w:rFonts w:hint="eastAsia" w:ascii="宋体" w:hAnsi="宋体" w:eastAsia="宋体" w:cs="宋体"/>
          <w:color w:val="000000"/>
          <w:kern w:val="0"/>
          <w:sz w:val="24"/>
          <w:szCs w:val="24"/>
        </w:rPr>
        <w:t>TCP</w:t>
      </w:r>
      <w:r>
        <w:rPr>
          <w:rFonts w:ascii="宋体" w:hAnsi="宋体" w:eastAsia="宋体" w:cs="宋体"/>
          <w:color w:val="000000"/>
          <w:kern w:val="0"/>
          <w:sz w:val="24"/>
          <w:szCs w:val="24"/>
        </w:rPr>
        <w:t>攻击流量限速到10Mb/s且接收端口为</w:t>
      </w:r>
      <w:r>
        <w:rPr>
          <w:rFonts w:hint="eastAsia" w:ascii="宋体" w:hAnsi="宋体" w:eastAsia="宋体" w:cs="宋体"/>
          <w:color w:val="000000"/>
          <w:kern w:val="0"/>
          <w:sz w:val="24"/>
          <w:szCs w:val="24"/>
        </w:rPr>
        <w:t>P</w:t>
      </w:r>
      <w:r>
        <w:rPr>
          <w:rFonts w:ascii="宋体" w:hAnsi="宋体" w:eastAsia="宋体" w:cs="宋体"/>
          <w:color w:val="000000"/>
          <w:kern w:val="0"/>
          <w:sz w:val="24"/>
          <w:szCs w:val="24"/>
        </w:rPr>
        <w:t>ort TCB</w:t>
      </w:r>
      <w:r>
        <w:rPr>
          <w:rFonts w:hint="eastAsia" w:ascii="宋体" w:hAnsi="宋体" w:eastAsia="宋体" w:cs="宋体"/>
          <w:color w:val="000000"/>
          <w:kern w:val="0"/>
          <w:sz w:val="24"/>
          <w:szCs w:val="24"/>
        </w:rPr>
        <w:t>。</w:t>
      </w:r>
    </w:p>
    <w:p>
      <w:pPr>
        <w:rPr>
          <w:rFonts w:ascii="宋体" w:hAnsi="宋体" w:eastAsia="宋体" w:cs="宋体"/>
          <w:color w:val="000000"/>
          <w:kern w:val="0"/>
          <w:sz w:val="24"/>
          <w:szCs w:val="24"/>
        </w:rPr>
      </w:pPr>
      <w:r>
        <w:drawing>
          <wp:inline distT="0" distB="0" distL="0" distR="0">
            <wp:extent cx="4234815" cy="175387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r:embed="rId22"/>
                    <a:stretch>
                      <a:fillRect/>
                    </a:stretch>
                  </pic:blipFill>
                  <pic:spPr>
                    <a:xfrm>
                      <a:off x="0" y="0"/>
                      <a:ext cx="4234815" cy="1753870"/>
                    </a:xfrm>
                    <a:prstGeom prst="rect">
                      <a:avLst/>
                    </a:prstGeom>
                  </pic:spPr>
                </pic:pic>
              </a:graphicData>
            </a:graphic>
          </wp:inline>
        </w:drawing>
      </w:r>
    </w:p>
    <w:p>
      <w:pPr>
        <w:rPr>
          <w:rFonts w:ascii="宋体" w:hAnsi="宋体" w:eastAsia="宋体" w:cs="宋体"/>
          <w:color w:val="000000"/>
          <w:kern w:val="0"/>
          <w:sz w:val="24"/>
          <w:szCs w:val="24"/>
        </w:rPr>
      </w:pPr>
      <w:r>
        <w:drawing>
          <wp:inline distT="0" distB="0" distL="0" distR="0">
            <wp:extent cx="4234815" cy="727710"/>
            <wp:effectExtent l="0" t="0" r="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23"/>
                    <a:stretch>
                      <a:fillRect/>
                    </a:stretch>
                  </pic:blipFill>
                  <pic:spPr>
                    <a:xfrm>
                      <a:off x="0" y="0"/>
                      <a:ext cx="4234815" cy="727710"/>
                    </a:xfrm>
                    <a:prstGeom prst="rect">
                      <a:avLst/>
                    </a:prstGeom>
                  </pic:spPr>
                </pic:pic>
              </a:graphicData>
            </a:graphic>
          </wp:inline>
        </w:drawing>
      </w:r>
    </w:p>
    <w:p>
      <w:pPr>
        <w:rPr>
          <w:rFonts w:ascii="宋体" w:hAnsi="宋体" w:eastAsia="宋体" w:cs="宋体"/>
          <w:color w:val="000000"/>
          <w:kern w:val="0"/>
          <w:sz w:val="24"/>
          <w:szCs w:val="24"/>
        </w:rPr>
      </w:pPr>
    </w:p>
    <w:p>
      <w:pP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当前，Renix</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软件BGP</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Flow</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Spec除了支持匹配多个字段、定义对匹配字段执行的操作等基本功能测试外，也具备对该协议的扩展和开发的能力。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E669EF"/>
    <w:multiLevelType w:val="multilevel"/>
    <w:tmpl w:val="18E669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336D3B"/>
    <w:multiLevelType w:val="multilevel"/>
    <w:tmpl w:val="19336D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A736857"/>
    <w:multiLevelType w:val="multilevel"/>
    <w:tmpl w:val="1A7368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48C46F3"/>
    <w:multiLevelType w:val="multilevel"/>
    <w:tmpl w:val="248C46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99A2099"/>
    <w:multiLevelType w:val="multilevel"/>
    <w:tmpl w:val="599A2099"/>
    <w:lvl w:ilvl="0" w:tentative="0">
      <w:start w:val="1"/>
      <w:numFmt w:val="decimal"/>
      <w:pStyle w:val="2"/>
      <w:lvlText w:val="%1"/>
      <w:lvlJc w:val="left"/>
      <w:pPr>
        <w:ind w:left="425" w:hanging="425"/>
      </w:pPr>
      <w:rPr>
        <w:rFonts w:hint="eastAsia" w:eastAsia="宋体" w:asciiTheme="majorEastAsia" w:hAnsiTheme="majorEastAsia"/>
      </w:rPr>
    </w:lvl>
    <w:lvl w:ilvl="1" w:tentative="0">
      <w:start w:val="1"/>
      <w:numFmt w:val="decimal"/>
      <w:pStyle w:val="3"/>
      <w:lvlText w:val="%1.%2"/>
      <w:lvlJc w:val="left"/>
      <w:pPr>
        <w:ind w:left="284" w:hanging="142"/>
      </w:pPr>
      <w:rPr>
        <w:b w:val="0"/>
        <w:bCs w:val="0"/>
        <w:i w:val="0"/>
        <w:iCs w:val="0"/>
        <w:caps w:val="0"/>
        <w:smallCaps w:val="0"/>
        <w:strike w:val="0"/>
        <w:dstrike w:val="0"/>
        <w:outline w:val="0"/>
        <w:shadow w:val="0"/>
        <w:emboss w:val="0"/>
        <w:imprint w:val="0"/>
        <w:vanish w:val="0"/>
        <w:spacing w:val="0"/>
        <w:kern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pStyle w:val="4"/>
      <w:lvlText w:val="%1.%2.%3"/>
      <w:lvlJc w:val="left"/>
      <w:pPr>
        <w:ind w:left="425" w:hanging="141"/>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yZDFjZTFmNzMyNDU1NTBkNDNlZDE1ODYzNzVkNDcifQ=="/>
  </w:docVars>
  <w:rsids>
    <w:rsidRoot w:val="00F10E9F"/>
    <w:rsid w:val="000037CE"/>
    <w:rsid w:val="00034799"/>
    <w:rsid w:val="000C1AF6"/>
    <w:rsid w:val="000E2830"/>
    <w:rsid w:val="000E61A4"/>
    <w:rsid w:val="00104F65"/>
    <w:rsid w:val="00133D0F"/>
    <w:rsid w:val="001C7D38"/>
    <w:rsid w:val="00260B08"/>
    <w:rsid w:val="0029560F"/>
    <w:rsid w:val="002D6847"/>
    <w:rsid w:val="00371A7E"/>
    <w:rsid w:val="00380EAA"/>
    <w:rsid w:val="00400F9A"/>
    <w:rsid w:val="004802BF"/>
    <w:rsid w:val="005573F9"/>
    <w:rsid w:val="00564929"/>
    <w:rsid w:val="005748E1"/>
    <w:rsid w:val="005E7613"/>
    <w:rsid w:val="0064065D"/>
    <w:rsid w:val="0069172E"/>
    <w:rsid w:val="006D20FD"/>
    <w:rsid w:val="007659F2"/>
    <w:rsid w:val="007705DA"/>
    <w:rsid w:val="00802A64"/>
    <w:rsid w:val="008904D9"/>
    <w:rsid w:val="008A418D"/>
    <w:rsid w:val="008C2499"/>
    <w:rsid w:val="00912BA9"/>
    <w:rsid w:val="00964409"/>
    <w:rsid w:val="009B120C"/>
    <w:rsid w:val="009D5D29"/>
    <w:rsid w:val="009F2AC6"/>
    <w:rsid w:val="00A15EB1"/>
    <w:rsid w:val="00A16941"/>
    <w:rsid w:val="00A42F30"/>
    <w:rsid w:val="00AC3783"/>
    <w:rsid w:val="00B27ADD"/>
    <w:rsid w:val="00BA1CAC"/>
    <w:rsid w:val="00C600F5"/>
    <w:rsid w:val="00D375E7"/>
    <w:rsid w:val="00D4742C"/>
    <w:rsid w:val="00E84BC9"/>
    <w:rsid w:val="00F10E9F"/>
    <w:rsid w:val="00F143C0"/>
    <w:rsid w:val="00F6211B"/>
    <w:rsid w:val="00F62A55"/>
    <w:rsid w:val="00F723FD"/>
    <w:rsid w:val="499B30BD"/>
    <w:rsid w:val="55351E02"/>
    <w:rsid w:val="76A50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widowControl/>
      <w:numPr>
        <w:ilvl w:val="0"/>
        <w:numId w:val="1"/>
      </w:numPr>
      <w:spacing w:before="240"/>
      <w:jc w:val="left"/>
      <w:outlineLvl w:val="0"/>
    </w:pPr>
    <w:rPr>
      <w:rFonts w:asciiTheme="majorHAnsi" w:hAnsiTheme="majorHAnsi" w:eastAsiaTheme="majorEastAsia" w:cstheme="majorBidi"/>
      <w:color w:val="2F5597" w:themeColor="accent1" w:themeShade="BF"/>
      <w:kern w:val="0"/>
      <w:sz w:val="36"/>
      <w:szCs w:val="32"/>
    </w:rPr>
  </w:style>
  <w:style w:type="paragraph" w:styleId="3">
    <w:name w:val="heading 2"/>
    <w:basedOn w:val="1"/>
    <w:next w:val="1"/>
    <w:link w:val="12"/>
    <w:unhideWhenUsed/>
    <w:qFormat/>
    <w:uiPriority w:val="9"/>
    <w:pPr>
      <w:keepNext/>
      <w:keepLines/>
      <w:widowControl/>
      <w:numPr>
        <w:ilvl w:val="1"/>
        <w:numId w:val="1"/>
      </w:numPr>
      <w:spacing w:before="120"/>
      <w:jc w:val="left"/>
      <w:outlineLvl w:val="1"/>
    </w:pPr>
    <w:rPr>
      <w:rFonts w:asciiTheme="majorHAnsi" w:hAnsiTheme="majorHAnsi" w:eastAsiaTheme="majorEastAsia" w:cstheme="majorBidi"/>
      <w:color w:val="2F5597" w:themeColor="accent1" w:themeShade="BF"/>
      <w:kern w:val="0"/>
      <w:sz w:val="32"/>
      <w:szCs w:val="26"/>
    </w:rPr>
  </w:style>
  <w:style w:type="paragraph" w:styleId="4">
    <w:name w:val="heading 3"/>
    <w:basedOn w:val="1"/>
    <w:next w:val="1"/>
    <w:link w:val="13"/>
    <w:unhideWhenUsed/>
    <w:qFormat/>
    <w:uiPriority w:val="9"/>
    <w:pPr>
      <w:keepNext/>
      <w:keepLines/>
      <w:widowControl/>
      <w:numPr>
        <w:ilvl w:val="2"/>
        <w:numId w:val="1"/>
      </w:numPr>
      <w:spacing w:before="120"/>
      <w:jc w:val="left"/>
      <w:outlineLvl w:val="2"/>
    </w:pPr>
    <w:rPr>
      <w:rFonts w:hAnsi="Times New Roman" w:cs="Times New Roman" w:eastAsiaTheme="majorEastAsia"/>
      <w:bCs/>
      <w:color w:val="2F5597" w:themeColor="accent1" w:themeShade="BF"/>
      <w:kern w:val="0"/>
      <w:sz w:val="30"/>
      <w:szCs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1 字符"/>
    <w:basedOn w:val="10"/>
    <w:link w:val="2"/>
    <w:qFormat/>
    <w:uiPriority w:val="9"/>
    <w:rPr>
      <w:rFonts w:asciiTheme="majorHAnsi" w:hAnsiTheme="majorHAnsi" w:eastAsiaTheme="majorEastAsia" w:cstheme="majorBidi"/>
      <w:color w:val="2F5597" w:themeColor="accent1" w:themeShade="BF"/>
      <w:kern w:val="0"/>
      <w:sz w:val="36"/>
      <w:szCs w:val="32"/>
    </w:rPr>
  </w:style>
  <w:style w:type="character" w:customStyle="1" w:styleId="12">
    <w:name w:val="标题 2 字符"/>
    <w:basedOn w:val="10"/>
    <w:link w:val="3"/>
    <w:qFormat/>
    <w:uiPriority w:val="9"/>
    <w:rPr>
      <w:rFonts w:asciiTheme="majorHAnsi" w:hAnsiTheme="majorHAnsi" w:eastAsiaTheme="majorEastAsia" w:cstheme="majorBidi"/>
      <w:color w:val="2F5597" w:themeColor="accent1" w:themeShade="BF"/>
      <w:kern w:val="0"/>
      <w:sz w:val="32"/>
      <w:szCs w:val="26"/>
    </w:rPr>
  </w:style>
  <w:style w:type="character" w:customStyle="1" w:styleId="13">
    <w:name w:val="标题 3 字符"/>
    <w:basedOn w:val="10"/>
    <w:link w:val="4"/>
    <w:qFormat/>
    <w:uiPriority w:val="9"/>
    <w:rPr>
      <w:rFonts w:hAnsi="Times New Roman" w:cs="Times New Roman" w:eastAsiaTheme="majorEastAsia"/>
      <w:bCs/>
      <w:color w:val="2F5597" w:themeColor="accent1" w:themeShade="BF"/>
      <w:kern w:val="0"/>
      <w:sz w:val="30"/>
      <w:szCs w:val="32"/>
    </w:rPr>
  </w:style>
  <w:style w:type="paragraph" w:styleId="14">
    <w:name w:val="List Paragraph"/>
    <w:basedOn w:val="1"/>
    <w:qFormat/>
    <w:uiPriority w:val="34"/>
    <w:pPr>
      <w:ind w:firstLine="420" w:firstLineChars="200"/>
    </w:pPr>
  </w:style>
  <w:style w:type="character" w:customStyle="1" w:styleId="15">
    <w:name w:val="页眉 字符"/>
    <w:basedOn w:val="10"/>
    <w:link w:val="7"/>
    <w:qFormat/>
    <w:uiPriority w:val="99"/>
    <w:rPr>
      <w:sz w:val="18"/>
      <w:szCs w:val="18"/>
    </w:rPr>
  </w:style>
  <w:style w:type="character" w:customStyle="1" w:styleId="16">
    <w:name w:val="页脚 字符"/>
    <w:basedOn w:val="10"/>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package" Target="embeddings/Microsoft_Visio___1.vsdx"/><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2515</Words>
  <Characters>3702</Characters>
  <Lines>28</Lines>
  <Paragraphs>8</Paragraphs>
  <TotalTime>379</TotalTime>
  <ScaleCrop>false</ScaleCrop>
  <LinksUpToDate>false</LinksUpToDate>
  <CharactersWithSpaces>3829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2022-12-02T06:56:00Z</dcterms:created>
  <dc:creator>路 浪</dc:creator>
  <cp:lastModifiedBy>王蓉壹</cp:lastModifiedBy>
  <dcterms:modified xsi:type="dcterms:W3CDTF">2022-12-28T05:57:47Z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89447A38836A49F582EB9DF7FA4A9D97</vt:lpwstr>
  </property>
</Properties>
</file>