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优利德：预计随着中高端产品持续放量，毛利率保持上升趋势</w:t>
      </w:r>
    </w:p>
    <w:p>
      <w:pPr>
        <w:pStyle w:val="style0"/>
        <w:jc w:val="center"/>
        <w:rPr/>
      </w:pPr>
      <w:r>
        <w:rPr>
          <w:lang w:val="en-US"/>
        </w:rPr>
        <w:t>来源：仪商网</w:t>
      </w:r>
    </w:p>
    <w:p>
      <w:pPr>
        <w:pStyle w:val="style0"/>
        <w:ind w:firstLineChars="200"/>
        <w:rPr/>
      </w:pPr>
      <w:r>
        <w:t>12月11日，优利德发布投资者关系活动记录表，公司于2023年12月11日接受57家机构调研。优利德在接受调研时表示，公司毛利率稳步提升的最主要原因是产品结构的改善，得益于高毛利率的专业仪表、测试仪器、温度与环境测试仪表销售收入提高及占比提升。除此之外，产品提价、原材料价格下降、汇率波动等因素也起到了正向作用。公司坚持走仪器高端化、仪表专业化路线，预计随着中高端产品的持续放量，毛利率将保持上升趋势。</w:t>
      </w:r>
    </w:p>
    <w:p>
      <w:pPr>
        <w:pStyle w:val="style0"/>
        <w:ind w:firstLineChars="200"/>
        <w:rPr/>
      </w:pPr>
      <w:r>
        <w:t>以下是这次投资者关系活动主要内容介绍：</w:t>
      </w:r>
    </w:p>
    <w:p>
      <w:pPr>
        <w:pStyle w:val="style0"/>
        <w:ind w:firstLineChars="200"/>
        <w:rPr/>
      </w:pPr>
      <w:r>
        <w:t>问：公司前三季度整体经营情况介绍</w:t>
      </w:r>
    </w:p>
    <w:p>
      <w:pPr>
        <w:pStyle w:val="style0"/>
        <w:ind w:firstLineChars="200"/>
        <w:rPr/>
      </w:pPr>
      <w:r>
        <w:t>答：2023年前三季度，公司实现营业收入7.84亿元,同比增长12.61%,实现归属于上市公司股东的净利润1.32亿元，同比增长42.43%。其中，第三季度公司实现营业收入2.39亿元,同比增长36.74%,实现归属于上市公司股东的净利润3,514.54万元,同比增长124.38%。年初至报告期末经营活动产生的现金流量净额为1.9亿元，同比增幅532.95%。</w:t>
      </w:r>
    </w:p>
    <w:p>
      <w:pPr>
        <w:pStyle w:val="style0"/>
        <w:ind w:firstLineChars="200"/>
        <w:rPr/>
      </w:pPr>
      <w:r>
        <w:t>问：毛利率是否还有提升空间？</w:t>
      </w:r>
    </w:p>
    <w:p>
      <w:pPr>
        <w:pStyle w:val="style0"/>
        <w:ind w:firstLineChars="200"/>
        <w:rPr/>
      </w:pPr>
      <w:r>
        <w:t>答：公司毛利率稳步提升的最主要原因是产品结构的改善，得益于高毛利率的专业仪表、测试仪器、温度与环境测试仪表销售收入提高及占比提升。除此之外，产品提价、原材料价格下降、汇率波动等因素也起到了正向作用。公司坚持走仪器高端化、仪表专业化路线，预计随着中高端产品的持续放量，毛利率将保持上升趋势。</w:t>
      </w:r>
    </w:p>
    <w:p>
      <w:pPr>
        <w:pStyle w:val="style0"/>
        <w:ind w:firstLineChars="200"/>
        <w:rPr/>
      </w:pPr>
      <w:r>
        <w:t>问：MSO7000系列示波器产品的出货情况和下游客户情况?</w:t>
      </w:r>
    </w:p>
    <w:p>
      <w:pPr>
        <w:pStyle w:val="style0"/>
        <w:ind w:firstLineChars="200"/>
        <w:rPr/>
      </w:pPr>
      <w:r>
        <w:t>答：今年8月开始，MSO7000系列示波器已实现量产出货，下游客户覆盖通信、半导体、消费电子、汽车、工控、安防、高校等多个行业。</w:t>
      </w:r>
    </w:p>
    <w:p>
      <w:pPr>
        <w:pStyle w:val="style0"/>
        <w:ind w:firstLineChars="200"/>
        <w:rPr/>
      </w:pPr>
      <w:r>
        <w:t>问：请介绍一下今年的研发投入情况，以及公司2024年的研发投入是否会继续增长？</w:t>
      </w:r>
    </w:p>
    <w:p>
      <w:pPr>
        <w:pStyle w:val="style0"/>
        <w:ind w:firstLineChars="200"/>
        <w:rPr/>
      </w:pPr>
      <w:r>
        <w:t>答：2023年公司持续对研发项目的直接投入和引入优秀的研发技术人才，Q1-Q3累积投入研发费用7018万元，较去年增长了37.34%，占营业收入的比例为8.96%。截止三季度末，公司研发人员数量达到279人，其中负责仪器研发的人员数量超150人，较去年有显著增长。仪器行业的研发壁垒较高，研发的持续投入是非常有必要的，充足的研发费用能保障公司产品线的持续迭代升级。2024年，公司还会继续补充研发人员，加大研发费用的投入，保持和营收相同的增长趋势。</w:t>
      </w:r>
    </w:p>
    <w:p>
      <w:pPr>
        <w:pStyle w:val="style0"/>
        <w:ind w:firstLineChars="200"/>
        <w:rPr/>
      </w:pPr>
      <w:r>
        <w:t>问：公司传统的仪表业务未来如何保持增长？</w:t>
      </w:r>
    </w:p>
    <w:p>
      <w:pPr>
        <w:pStyle w:val="style0"/>
        <w:ind w:firstLineChars="200"/>
        <w:rPr/>
      </w:pPr>
      <w:r>
        <w:t>答：通用仪表方面，由于行业格局较为稳固，市场整体规模增长放缓，公司计划增加中高端产品的销售占比，扩充销售渠道，并保持年度提价策略。此外，公司ODM订单有所增加，预期通用仪表业务未来将保持稳健增长。在专业仪表方面，公司紧抓国内电力及新能源行业发展机遇，提升产品技术水平、丰富行业解决方案，制定了针对性的A计划与G计划，从目前的成交与复购率来看，已逐步对海外头部品牌形成替代，预计未来将保持较高增长。</w:t>
      </w:r>
    </w:p>
    <w:p>
      <w:pPr>
        <w:pStyle w:val="style0"/>
        <w:ind w:firstLineChars="200"/>
        <w:rPr/>
      </w:pPr>
      <w:r>
        <w:t>问：公司仪器产品未来的研发规划是？</w:t>
      </w:r>
    </w:p>
    <w:p>
      <w:pPr>
        <w:pStyle w:val="style0"/>
        <w:ind w:firstLineChars="200"/>
        <w:rPr/>
      </w:pPr>
      <w:r>
        <w:t>答：对于仪器产品的研发，公司会保持时域、频域、源载、安规等产品线齐头并进，只有丰富的产品矩阵和多SKU策略才能够充分响应客户测试需求，并且能够平滑部分行业需求波动的影响，保持业务的稳定增长。对于重点产品线，我们计划每年完成一次代际的升级，持续往更高端去突破。未来一年将会有更高带宽、更高分辨率的示波器、更高频率频谱分析仪等诸多新品发布。</w:t>
      </w:r>
    </w:p>
    <w:p>
      <w:pPr>
        <w:pStyle w:val="style0"/>
        <w:rPr/>
      </w:pPr>
    </w:p>
    <w:p>
      <w:pPr>
        <w:pStyle w:val="style0"/>
        <w:jc w:val="center"/>
        <w:rPr/>
      </w:pPr>
      <w:r>
        <w:rPr/>
        <w:drawing>
          <wp:inline distL="114300" distT="0" distB="0" distR="114300">
            <wp:extent cx="4675098" cy="3115514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675098" cy="311551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优利德旗舰产品：MSO8000X系列 高带宽混合信号示波器</w:t>
      </w:r>
    </w:p>
    <w:p>
      <w:pPr>
        <w:pStyle w:val="style0"/>
        <w:ind w:firstLineChars="200"/>
        <w:rPr/>
      </w:pPr>
      <w:r>
        <w:t>截至目前，优利德为国内唯一一家同时布局示波器、信号源、射频、电源与负载、安规与其它仪器等五类仪器的仪器公司。今年5月，优利德发布了带宽为4GHz，采样率为20GSa/s的MSO8000X系列混合信号数字荧光示波器，及频率范围高达26.5GHz的UTS5000A系列信号分析仪等。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1395</Words>
  <Characters>1534</Characters>
  <Application>WPS Office</Application>
  <Paragraphs>27</Paragraphs>
  <CharactersWithSpaces>1535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2023-12-12T04:12:32Z</dcterms:created>
  <dc:creator>V2241HA</dc:creator>
  <lastModifiedBy>V2241HA</lastModifiedBy>
  <dcterms:modified xsi:type="dcterms:W3CDTF">2023-12-12T04:19:37Z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82a7482c7c304c1784b32056d4aca881_21</vt:lpwstr>
  </property>
</Properties>
</file>