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17E" w:rsidRPr="00D7417E" w:rsidRDefault="00D7417E" w:rsidP="00BD17B5">
      <w:pPr>
        <w:widowControl/>
        <w:spacing w:line="360" w:lineRule="auto"/>
        <w:jc w:val="center"/>
        <w:outlineLvl w:val="1"/>
        <w:rPr>
          <w:rFonts w:ascii="黑体" w:eastAsia="黑体" w:hAnsi="黑体" w:cs="宋体"/>
          <w:b/>
          <w:color w:val="000000" w:themeColor="text1"/>
          <w:kern w:val="0"/>
          <w:sz w:val="28"/>
          <w:szCs w:val="28"/>
        </w:rPr>
      </w:pPr>
      <w:bookmarkStart w:id="0" w:name="_GoBack"/>
      <w:proofErr w:type="gramStart"/>
      <w:r w:rsidRPr="00D7417E">
        <w:rPr>
          <w:rFonts w:ascii="黑体" w:eastAsia="黑体" w:hAnsi="黑体" w:cs="宋体"/>
          <w:b/>
          <w:color w:val="000000" w:themeColor="text1"/>
          <w:kern w:val="0"/>
          <w:sz w:val="28"/>
          <w:szCs w:val="28"/>
        </w:rPr>
        <w:t>思仪科技</w:t>
      </w:r>
      <w:proofErr w:type="gramEnd"/>
      <w:r w:rsidRPr="00D7417E">
        <w:rPr>
          <w:rFonts w:ascii="黑体" w:eastAsia="黑体" w:hAnsi="黑体" w:cs="宋体"/>
          <w:b/>
          <w:color w:val="000000" w:themeColor="text1"/>
          <w:kern w:val="0"/>
          <w:sz w:val="28"/>
          <w:szCs w:val="28"/>
        </w:rPr>
        <w:t>推出110GHz宽频带下变频器</w:t>
      </w:r>
    </w:p>
    <w:bookmarkEnd w:id="0"/>
    <w:p w:rsidR="00BD17B5" w:rsidRDefault="00BD17B5" w:rsidP="00BD17B5">
      <w:pPr>
        <w:widowControl/>
        <w:spacing w:line="360" w:lineRule="auto"/>
        <w:jc w:val="center"/>
        <w:rPr>
          <w:rFonts w:ascii="宋体" w:eastAsia="宋体" w:hAnsi="宋体" w:cs="宋体" w:hint="eastAsia"/>
          <w:color w:val="000000" w:themeColor="text1"/>
          <w:kern w:val="0"/>
          <w:sz w:val="24"/>
          <w:szCs w:val="24"/>
        </w:rPr>
      </w:pPr>
      <w:r>
        <w:rPr>
          <w:rFonts w:ascii="宋体" w:eastAsia="宋体" w:hAnsi="宋体" w:cs="宋体" w:hint="eastAsia"/>
          <w:color w:val="000000" w:themeColor="text1"/>
          <w:kern w:val="0"/>
          <w:sz w:val="24"/>
          <w:szCs w:val="24"/>
        </w:rPr>
        <w:t>来源：思议科技</w:t>
      </w:r>
    </w:p>
    <w:p w:rsidR="00D7417E" w:rsidRPr="00D7417E" w:rsidRDefault="00D7417E" w:rsidP="00BD17B5">
      <w:pPr>
        <w:widowControl/>
        <w:spacing w:line="360" w:lineRule="auto"/>
        <w:ind w:firstLineChars="200" w:firstLine="480"/>
        <w:jc w:val="left"/>
        <w:rPr>
          <w:rFonts w:ascii="宋体" w:eastAsia="宋体" w:hAnsi="宋体" w:cs="宋体"/>
          <w:color w:val="000000" w:themeColor="text1"/>
          <w:kern w:val="0"/>
          <w:sz w:val="24"/>
          <w:szCs w:val="24"/>
        </w:rPr>
      </w:pPr>
      <w:r w:rsidRPr="00D7417E">
        <w:rPr>
          <w:rFonts w:ascii="宋体" w:eastAsia="宋体" w:hAnsi="宋体" w:cs="宋体"/>
          <w:color w:val="000000" w:themeColor="text1"/>
          <w:kern w:val="0"/>
          <w:sz w:val="24"/>
          <w:szCs w:val="24"/>
        </w:rPr>
        <w:t>变频器一般主要分为上变频器和下变频器两类，其中上变频器主要作用是将低频信号搬移到高频无线电波上，以便通过天线有效地发射出去；下变频器的主要作用是将天线接收的高频无线电波中的有用信号搬移到低频段，以便进行后续处理和解调。变频器是无线通信系统中不可或缺的关键部件，可广泛应用于宽带高速卫星通信、电磁频谱信号监测、雷达目标模拟和通信信道模拟等测试领域。</w:t>
      </w:r>
    </w:p>
    <w:p w:rsidR="00D7417E" w:rsidRPr="00D7417E" w:rsidRDefault="00D7417E" w:rsidP="00BD17B5">
      <w:pPr>
        <w:widowControl/>
        <w:spacing w:line="360" w:lineRule="auto"/>
        <w:ind w:firstLineChars="200" w:firstLine="480"/>
        <w:jc w:val="left"/>
        <w:rPr>
          <w:rFonts w:ascii="宋体" w:eastAsia="宋体" w:hAnsi="宋体" w:cs="宋体"/>
          <w:color w:val="000000" w:themeColor="text1"/>
          <w:kern w:val="0"/>
          <w:sz w:val="24"/>
          <w:szCs w:val="24"/>
        </w:rPr>
      </w:pPr>
      <w:r w:rsidRPr="00D7417E">
        <w:rPr>
          <w:rFonts w:ascii="宋体" w:eastAsia="宋体" w:hAnsi="宋体" w:cs="宋体"/>
          <w:color w:val="000000" w:themeColor="text1"/>
          <w:kern w:val="0"/>
          <w:sz w:val="24"/>
          <w:szCs w:val="24"/>
        </w:rPr>
        <w:t>随着无线通信技术的发展，对变频器的工作频率、工作带宽、信号完整性与传输质量提出了更高的要求，</w:t>
      </w:r>
      <w:proofErr w:type="gramStart"/>
      <w:r w:rsidRPr="00D7417E">
        <w:rPr>
          <w:rFonts w:ascii="宋体" w:eastAsia="宋体" w:hAnsi="宋体" w:cs="宋体"/>
          <w:color w:val="000000" w:themeColor="text1"/>
          <w:kern w:val="0"/>
          <w:sz w:val="24"/>
          <w:szCs w:val="24"/>
        </w:rPr>
        <w:t>思仪科技</w:t>
      </w:r>
      <w:proofErr w:type="gramEnd"/>
      <w:r w:rsidRPr="00D7417E">
        <w:rPr>
          <w:rFonts w:ascii="宋体" w:eastAsia="宋体" w:hAnsi="宋体" w:cs="宋体"/>
          <w:color w:val="000000" w:themeColor="text1"/>
          <w:kern w:val="0"/>
          <w:sz w:val="24"/>
          <w:szCs w:val="24"/>
        </w:rPr>
        <w:t>针对现代通信测量系统日益严苛的性能需求，攻克了宽频带、大瞬时带宽、低失真变换的变频技术难题，推出3652P宽频带下变频器，工作频率可达110GHz，变频增益控制范围为10dB～40dB，增益步进长度为0.1dB，最小频率步进1Hz，可以实现增益和频率的精确控制功能，产品如图1所示。</w:t>
      </w:r>
    </w:p>
    <w:p w:rsidR="00D7417E" w:rsidRPr="00D7417E" w:rsidRDefault="00D7417E" w:rsidP="00BD17B5">
      <w:pPr>
        <w:widowControl/>
        <w:spacing w:line="360" w:lineRule="auto"/>
        <w:ind w:firstLineChars="200" w:firstLine="480"/>
        <w:jc w:val="center"/>
        <w:rPr>
          <w:rFonts w:ascii="宋体" w:eastAsia="宋体" w:hAnsi="宋体" w:cs="宋体"/>
          <w:color w:val="000000" w:themeColor="text1"/>
          <w:kern w:val="0"/>
          <w:sz w:val="24"/>
          <w:szCs w:val="24"/>
        </w:rPr>
      </w:pPr>
      <w:r w:rsidRPr="00BD17B5">
        <w:rPr>
          <w:rFonts w:ascii="宋体" w:eastAsia="宋体" w:hAnsi="宋体" w:cs="宋体"/>
          <w:noProof/>
          <w:color w:val="000000" w:themeColor="text1"/>
          <w:kern w:val="0"/>
          <w:sz w:val="24"/>
          <w:szCs w:val="24"/>
        </w:rPr>
        <w:drawing>
          <wp:inline distT="0" distB="0" distL="0" distR="0" wp14:anchorId="198687E8" wp14:editId="591886A7">
            <wp:extent cx="4331395" cy="189547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35105" cy="1897099"/>
                    </a:xfrm>
                    <a:prstGeom prst="rect">
                      <a:avLst/>
                    </a:prstGeom>
                    <a:noFill/>
                    <a:ln>
                      <a:noFill/>
                    </a:ln>
                  </pic:spPr>
                </pic:pic>
              </a:graphicData>
            </a:graphic>
          </wp:inline>
        </w:drawing>
      </w:r>
    </w:p>
    <w:p w:rsidR="00D7417E" w:rsidRPr="00D7417E" w:rsidRDefault="00D7417E" w:rsidP="00BD17B5">
      <w:pPr>
        <w:widowControl/>
        <w:spacing w:line="360" w:lineRule="auto"/>
        <w:ind w:firstLineChars="200" w:firstLine="480"/>
        <w:jc w:val="center"/>
        <w:rPr>
          <w:rFonts w:ascii="宋体" w:eastAsia="宋体" w:hAnsi="宋体" w:cs="宋体"/>
          <w:color w:val="000000" w:themeColor="text1"/>
          <w:kern w:val="0"/>
          <w:sz w:val="24"/>
          <w:szCs w:val="24"/>
        </w:rPr>
      </w:pPr>
      <w:r w:rsidRPr="00D7417E">
        <w:rPr>
          <w:rFonts w:ascii="宋体" w:eastAsia="宋体" w:hAnsi="宋体" w:cs="宋体"/>
          <w:color w:val="000000" w:themeColor="text1"/>
          <w:kern w:val="0"/>
          <w:sz w:val="24"/>
          <w:szCs w:val="24"/>
        </w:rPr>
        <w:t>图1 3652P宽频带下变频器</w:t>
      </w:r>
    </w:p>
    <w:p w:rsidR="00D7417E" w:rsidRPr="00D7417E" w:rsidRDefault="00D7417E" w:rsidP="00BD17B5">
      <w:pPr>
        <w:widowControl/>
        <w:spacing w:line="360" w:lineRule="auto"/>
        <w:ind w:firstLineChars="200" w:firstLine="482"/>
        <w:jc w:val="left"/>
        <w:rPr>
          <w:rFonts w:ascii="宋体" w:eastAsia="宋体" w:hAnsi="宋体" w:cs="宋体"/>
          <w:color w:val="000000" w:themeColor="text1"/>
          <w:kern w:val="0"/>
          <w:sz w:val="24"/>
          <w:szCs w:val="24"/>
        </w:rPr>
      </w:pPr>
      <w:r w:rsidRPr="00BD17B5">
        <w:rPr>
          <w:rFonts w:ascii="宋体" w:eastAsia="宋体" w:hAnsi="宋体" w:cs="宋体"/>
          <w:b/>
          <w:bCs/>
          <w:color w:val="000000" w:themeColor="text1"/>
          <w:kern w:val="0"/>
          <w:sz w:val="24"/>
          <w:szCs w:val="24"/>
        </w:rPr>
        <w:t>超宽频带、大瞬时带宽</w:t>
      </w:r>
    </w:p>
    <w:p w:rsidR="00D7417E" w:rsidRPr="00D7417E" w:rsidRDefault="00D7417E" w:rsidP="00BD17B5">
      <w:pPr>
        <w:widowControl/>
        <w:spacing w:line="360" w:lineRule="auto"/>
        <w:ind w:firstLineChars="200" w:firstLine="480"/>
        <w:jc w:val="left"/>
        <w:rPr>
          <w:rFonts w:ascii="宋体" w:eastAsia="宋体" w:hAnsi="宋体" w:cs="宋体"/>
          <w:color w:val="000000" w:themeColor="text1"/>
          <w:kern w:val="0"/>
          <w:sz w:val="24"/>
          <w:szCs w:val="24"/>
        </w:rPr>
      </w:pPr>
      <w:r w:rsidRPr="00D7417E">
        <w:rPr>
          <w:rFonts w:ascii="宋体" w:eastAsia="宋体" w:hAnsi="宋体" w:cs="宋体"/>
          <w:color w:val="000000" w:themeColor="text1"/>
          <w:kern w:val="0"/>
          <w:sz w:val="24"/>
          <w:szCs w:val="24"/>
        </w:rPr>
        <w:t>工作频率范围和瞬时带宽是变频器的核心指标之一，直接决定了变频器的频谱搬移能力。3652P宽频带下变频器具有超宽带频率范围，能够覆盖1GHz～110GHz，其最大瞬时带宽可达1GHz，110GHz时的1GHz带宽增益平坦度仅为±1.2dB，能够满足客户对器件和系统的一次性、连续的测试要求，提供无缝、连续的频率覆盖，极大提升了测试效率和准确性，实现“</w:t>
      </w:r>
      <w:proofErr w:type="gramStart"/>
      <w:r w:rsidRPr="00D7417E">
        <w:rPr>
          <w:rFonts w:ascii="宋体" w:eastAsia="宋体" w:hAnsi="宋体" w:cs="宋体"/>
          <w:color w:val="000000" w:themeColor="text1"/>
          <w:kern w:val="0"/>
          <w:sz w:val="24"/>
          <w:szCs w:val="24"/>
        </w:rPr>
        <w:t>一</w:t>
      </w:r>
      <w:proofErr w:type="gramEnd"/>
      <w:r w:rsidRPr="00D7417E">
        <w:rPr>
          <w:rFonts w:ascii="宋体" w:eastAsia="宋体" w:hAnsi="宋体" w:cs="宋体"/>
          <w:color w:val="000000" w:themeColor="text1"/>
          <w:kern w:val="0"/>
          <w:sz w:val="24"/>
          <w:szCs w:val="24"/>
        </w:rPr>
        <w:t>机多用”，简化测试平台，降低成本和操作复杂性。</w:t>
      </w:r>
    </w:p>
    <w:p w:rsidR="00D7417E" w:rsidRPr="00D7417E" w:rsidRDefault="00BD17B5" w:rsidP="00BD17B5">
      <w:pPr>
        <w:widowControl/>
        <w:spacing w:line="360" w:lineRule="auto"/>
        <w:ind w:firstLineChars="200" w:firstLine="480"/>
        <w:jc w:val="center"/>
        <w:rPr>
          <w:rFonts w:ascii="宋体" w:eastAsia="宋体" w:hAnsi="宋体" w:cs="宋体"/>
          <w:color w:val="000000" w:themeColor="text1"/>
          <w:kern w:val="0"/>
          <w:sz w:val="24"/>
          <w:szCs w:val="24"/>
        </w:rPr>
      </w:pPr>
      <w:r w:rsidRPr="00BD17B5">
        <w:rPr>
          <w:rFonts w:ascii="宋体" w:eastAsia="宋体" w:hAnsi="宋体" w:cs="宋体"/>
          <w:noProof/>
          <w:color w:val="000000" w:themeColor="text1"/>
          <w:kern w:val="0"/>
          <w:sz w:val="24"/>
          <w:szCs w:val="24"/>
        </w:rPr>
        <w:lastRenderedPageBreak/>
        <w:drawing>
          <wp:inline distT="0" distB="0" distL="0" distR="0" wp14:anchorId="1CF2976D" wp14:editId="21A7F383">
            <wp:extent cx="4126632" cy="2343150"/>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35392" cy="2348124"/>
                    </a:xfrm>
                    <a:prstGeom prst="rect">
                      <a:avLst/>
                    </a:prstGeom>
                    <a:noFill/>
                    <a:ln>
                      <a:noFill/>
                    </a:ln>
                  </pic:spPr>
                </pic:pic>
              </a:graphicData>
            </a:graphic>
          </wp:inline>
        </w:drawing>
      </w:r>
    </w:p>
    <w:p w:rsidR="00D7417E" w:rsidRPr="00D7417E" w:rsidRDefault="00D7417E" w:rsidP="00BD17B5">
      <w:pPr>
        <w:widowControl/>
        <w:spacing w:line="360" w:lineRule="auto"/>
        <w:ind w:firstLineChars="200" w:firstLine="480"/>
        <w:jc w:val="center"/>
        <w:rPr>
          <w:rFonts w:ascii="宋体" w:eastAsia="宋体" w:hAnsi="宋体" w:cs="宋体"/>
          <w:color w:val="000000" w:themeColor="text1"/>
          <w:kern w:val="0"/>
          <w:sz w:val="24"/>
          <w:szCs w:val="24"/>
        </w:rPr>
      </w:pPr>
      <w:r w:rsidRPr="00D7417E">
        <w:rPr>
          <w:rFonts w:ascii="宋体" w:eastAsia="宋体" w:hAnsi="宋体" w:cs="宋体"/>
          <w:color w:val="000000" w:themeColor="text1"/>
          <w:kern w:val="0"/>
          <w:sz w:val="24"/>
          <w:szCs w:val="24"/>
        </w:rPr>
        <w:t>图2 增益平坦度@110GHz</w:t>
      </w:r>
    </w:p>
    <w:p w:rsidR="00D7417E" w:rsidRPr="00D7417E" w:rsidRDefault="00D7417E" w:rsidP="00BD17B5">
      <w:pPr>
        <w:widowControl/>
        <w:spacing w:line="360" w:lineRule="auto"/>
        <w:ind w:firstLineChars="200" w:firstLine="482"/>
        <w:jc w:val="left"/>
        <w:rPr>
          <w:rFonts w:ascii="宋体" w:eastAsia="宋体" w:hAnsi="宋体" w:cs="宋体"/>
          <w:color w:val="000000" w:themeColor="text1"/>
          <w:kern w:val="0"/>
          <w:sz w:val="24"/>
          <w:szCs w:val="24"/>
        </w:rPr>
      </w:pPr>
      <w:r w:rsidRPr="00BD17B5">
        <w:rPr>
          <w:rFonts w:ascii="宋体" w:eastAsia="宋体" w:hAnsi="宋体" w:cs="宋体"/>
          <w:b/>
          <w:bCs/>
          <w:color w:val="000000" w:themeColor="text1"/>
          <w:kern w:val="0"/>
          <w:sz w:val="24"/>
          <w:szCs w:val="24"/>
        </w:rPr>
        <w:t>低失真特性</w:t>
      </w:r>
    </w:p>
    <w:p w:rsidR="00D7417E" w:rsidRPr="00D7417E" w:rsidRDefault="00D7417E" w:rsidP="00BD17B5">
      <w:pPr>
        <w:widowControl/>
        <w:spacing w:line="360" w:lineRule="auto"/>
        <w:ind w:firstLineChars="200" w:firstLine="480"/>
        <w:jc w:val="left"/>
        <w:rPr>
          <w:rFonts w:ascii="宋体" w:eastAsia="宋体" w:hAnsi="宋体" w:cs="宋体"/>
          <w:color w:val="000000" w:themeColor="text1"/>
          <w:kern w:val="0"/>
          <w:sz w:val="24"/>
          <w:szCs w:val="24"/>
        </w:rPr>
      </w:pPr>
      <w:r w:rsidRPr="00D7417E">
        <w:rPr>
          <w:rFonts w:ascii="宋体" w:eastAsia="宋体" w:hAnsi="宋体" w:cs="宋体"/>
          <w:color w:val="000000" w:themeColor="text1"/>
          <w:kern w:val="0"/>
          <w:sz w:val="24"/>
          <w:szCs w:val="24"/>
        </w:rPr>
        <w:t>群时延波动和相位噪声在高阶调制数字通信系统、高性能雷达系统等灵敏度要求高的场景下要求更为严格。</w:t>
      </w:r>
      <w:proofErr w:type="gramStart"/>
      <w:r w:rsidRPr="00D7417E">
        <w:rPr>
          <w:rFonts w:ascii="宋体" w:eastAsia="宋体" w:hAnsi="宋体" w:cs="宋体"/>
          <w:color w:val="000000" w:themeColor="text1"/>
          <w:kern w:val="0"/>
          <w:sz w:val="24"/>
          <w:szCs w:val="24"/>
        </w:rPr>
        <w:t>思仪科技</w:t>
      </w:r>
      <w:proofErr w:type="gramEnd"/>
      <w:r w:rsidRPr="00D7417E">
        <w:rPr>
          <w:rFonts w:ascii="宋体" w:eastAsia="宋体" w:hAnsi="宋体" w:cs="宋体"/>
          <w:color w:val="000000" w:themeColor="text1"/>
          <w:kern w:val="0"/>
          <w:sz w:val="24"/>
          <w:szCs w:val="24"/>
        </w:rPr>
        <w:t>研制的3652P宽频带下变频器的群时延波动和相位噪声性能优异，110GHz时的在任意40MHz频带内的群时延波动最大值仅为0.5ns，任意250MHz频带内的群时延波动最大值仅为1.84ns；相位噪声实测值分别低至-92dBc/Hz@1kHz、-100dBc/Hz@10kHz、-102dBc/Hz@100kHz，能够满足客户高保真矢量测试的要求，实测曲线如图3、图4所示。</w:t>
      </w:r>
    </w:p>
    <w:p w:rsidR="00D7417E" w:rsidRPr="00D7417E" w:rsidRDefault="00BD17B5" w:rsidP="00BD17B5">
      <w:pPr>
        <w:widowControl/>
        <w:spacing w:line="360" w:lineRule="auto"/>
        <w:ind w:firstLineChars="200" w:firstLine="480"/>
        <w:jc w:val="center"/>
        <w:rPr>
          <w:rFonts w:ascii="宋体" w:eastAsia="宋体" w:hAnsi="宋体" w:cs="宋体"/>
          <w:color w:val="000000" w:themeColor="text1"/>
          <w:kern w:val="0"/>
          <w:sz w:val="24"/>
          <w:szCs w:val="24"/>
        </w:rPr>
      </w:pPr>
      <w:r w:rsidRPr="00BD17B5">
        <w:rPr>
          <w:rFonts w:ascii="宋体" w:eastAsia="宋体" w:hAnsi="宋体" w:cs="宋体"/>
          <w:noProof/>
          <w:color w:val="000000" w:themeColor="text1"/>
          <w:kern w:val="0"/>
          <w:sz w:val="24"/>
          <w:szCs w:val="24"/>
        </w:rPr>
        <w:drawing>
          <wp:inline distT="0" distB="0" distL="0" distR="0" wp14:anchorId="4335A3EF" wp14:editId="7BDEDC44">
            <wp:extent cx="4171950" cy="2507688"/>
            <wp:effectExtent l="0" t="0" r="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1950" cy="2507688"/>
                    </a:xfrm>
                    <a:prstGeom prst="rect">
                      <a:avLst/>
                    </a:prstGeom>
                    <a:noFill/>
                    <a:ln>
                      <a:noFill/>
                    </a:ln>
                  </pic:spPr>
                </pic:pic>
              </a:graphicData>
            </a:graphic>
          </wp:inline>
        </w:drawing>
      </w:r>
    </w:p>
    <w:p w:rsidR="00D7417E" w:rsidRPr="00D7417E" w:rsidRDefault="00D7417E" w:rsidP="00BD17B5">
      <w:pPr>
        <w:widowControl/>
        <w:spacing w:line="360" w:lineRule="auto"/>
        <w:ind w:firstLineChars="200" w:firstLine="480"/>
        <w:jc w:val="center"/>
        <w:rPr>
          <w:rFonts w:ascii="宋体" w:eastAsia="宋体" w:hAnsi="宋体" w:cs="宋体"/>
          <w:color w:val="000000" w:themeColor="text1"/>
          <w:kern w:val="0"/>
          <w:sz w:val="24"/>
          <w:szCs w:val="24"/>
        </w:rPr>
      </w:pPr>
      <w:r w:rsidRPr="00D7417E">
        <w:rPr>
          <w:rFonts w:ascii="宋体" w:eastAsia="宋体" w:hAnsi="宋体" w:cs="宋体"/>
          <w:color w:val="000000" w:themeColor="text1"/>
          <w:kern w:val="0"/>
          <w:sz w:val="24"/>
          <w:szCs w:val="24"/>
        </w:rPr>
        <w:t>图3 群时延波动@110GHz</w:t>
      </w:r>
    </w:p>
    <w:p w:rsidR="00D7417E" w:rsidRPr="00D7417E" w:rsidRDefault="00BD17B5" w:rsidP="00BD17B5">
      <w:pPr>
        <w:widowControl/>
        <w:spacing w:line="360" w:lineRule="auto"/>
        <w:ind w:firstLineChars="200" w:firstLine="480"/>
        <w:jc w:val="center"/>
        <w:rPr>
          <w:rFonts w:ascii="宋体" w:eastAsia="宋体" w:hAnsi="宋体" w:cs="宋体"/>
          <w:color w:val="000000" w:themeColor="text1"/>
          <w:kern w:val="0"/>
          <w:sz w:val="24"/>
          <w:szCs w:val="24"/>
        </w:rPr>
      </w:pPr>
      <w:r w:rsidRPr="00BD17B5">
        <w:rPr>
          <w:rFonts w:ascii="宋体" w:eastAsia="宋体" w:hAnsi="宋体" w:cs="宋体"/>
          <w:noProof/>
          <w:color w:val="000000" w:themeColor="text1"/>
          <w:kern w:val="0"/>
          <w:sz w:val="24"/>
          <w:szCs w:val="24"/>
        </w:rPr>
        <w:drawing>
          <wp:inline distT="0" distB="0" distL="0" distR="0" wp14:anchorId="2FB511BE" wp14:editId="50767539">
            <wp:extent cx="4267200" cy="2665074"/>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200" cy="2665074"/>
                    </a:xfrm>
                    <a:prstGeom prst="rect">
                      <a:avLst/>
                    </a:prstGeom>
                    <a:noFill/>
                    <a:ln>
                      <a:noFill/>
                    </a:ln>
                  </pic:spPr>
                </pic:pic>
              </a:graphicData>
            </a:graphic>
          </wp:inline>
        </w:drawing>
      </w:r>
    </w:p>
    <w:p w:rsidR="00D7417E" w:rsidRPr="00D7417E" w:rsidRDefault="00D7417E" w:rsidP="00BD17B5">
      <w:pPr>
        <w:widowControl/>
        <w:spacing w:line="360" w:lineRule="auto"/>
        <w:ind w:firstLineChars="200" w:firstLine="480"/>
        <w:jc w:val="center"/>
        <w:rPr>
          <w:rFonts w:ascii="宋体" w:eastAsia="宋体" w:hAnsi="宋体" w:cs="宋体"/>
          <w:color w:val="000000" w:themeColor="text1"/>
          <w:kern w:val="0"/>
          <w:sz w:val="24"/>
          <w:szCs w:val="24"/>
        </w:rPr>
      </w:pPr>
      <w:r w:rsidRPr="00D7417E">
        <w:rPr>
          <w:rFonts w:ascii="宋体" w:eastAsia="宋体" w:hAnsi="宋体" w:cs="宋体"/>
          <w:color w:val="000000" w:themeColor="text1"/>
          <w:kern w:val="0"/>
          <w:sz w:val="24"/>
          <w:szCs w:val="24"/>
        </w:rPr>
        <w:t>图4 相位噪声@110GHz</w:t>
      </w:r>
    </w:p>
    <w:p w:rsidR="00D7417E" w:rsidRPr="00D7417E" w:rsidRDefault="00D7417E" w:rsidP="00BD17B5">
      <w:pPr>
        <w:widowControl/>
        <w:spacing w:line="360" w:lineRule="auto"/>
        <w:ind w:firstLineChars="200" w:firstLine="480"/>
        <w:jc w:val="left"/>
        <w:rPr>
          <w:rFonts w:ascii="宋体" w:eastAsia="宋体" w:hAnsi="宋体" w:cs="宋体"/>
          <w:color w:val="000000" w:themeColor="text1"/>
          <w:kern w:val="0"/>
          <w:sz w:val="24"/>
          <w:szCs w:val="24"/>
        </w:rPr>
      </w:pPr>
      <w:proofErr w:type="gramStart"/>
      <w:r w:rsidRPr="00D7417E">
        <w:rPr>
          <w:rFonts w:ascii="宋体" w:eastAsia="宋体" w:hAnsi="宋体" w:cs="宋体"/>
          <w:color w:val="000000" w:themeColor="text1"/>
          <w:kern w:val="0"/>
          <w:sz w:val="24"/>
          <w:szCs w:val="24"/>
        </w:rPr>
        <w:t>思仪科技</w:t>
      </w:r>
      <w:proofErr w:type="gramEnd"/>
      <w:r w:rsidRPr="00D7417E">
        <w:rPr>
          <w:rFonts w:ascii="宋体" w:eastAsia="宋体" w:hAnsi="宋体" w:cs="宋体"/>
          <w:color w:val="000000" w:themeColor="text1"/>
          <w:kern w:val="0"/>
          <w:sz w:val="24"/>
          <w:szCs w:val="24"/>
        </w:rPr>
        <w:t>一直致力于上下变频器技术研究及产品开发工作，系列化变频器产品频率范围覆盖L、S、C、X、Ku、</w:t>
      </w:r>
      <w:proofErr w:type="spellStart"/>
      <w:r w:rsidRPr="00D7417E">
        <w:rPr>
          <w:rFonts w:ascii="宋体" w:eastAsia="宋体" w:hAnsi="宋体" w:cs="宋体"/>
          <w:color w:val="000000" w:themeColor="text1"/>
          <w:kern w:val="0"/>
          <w:sz w:val="24"/>
          <w:szCs w:val="24"/>
        </w:rPr>
        <w:t>Ka</w:t>
      </w:r>
      <w:proofErr w:type="spellEnd"/>
      <w:r w:rsidRPr="00D7417E">
        <w:rPr>
          <w:rFonts w:ascii="宋体" w:eastAsia="宋体" w:hAnsi="宋体" w:cs="宋体"/>
          <w:color w:val="000000" w:themeColor="text1"/>
          <w:kern w:val="0"/>
          <w:sz w:val="24"/>
          <w:szCs w:val="24"/>
        </w:rPr>
        <w:t>、Q、V波段，可以与合成信号源、频谱分析仪、数字存储示波器、任意波发生器等仪器组合，搭建各类自动测试、模拟验证系统，实现信号激励、信号分析的频段扩展，完成性能参数的测试。</w:t>
      </w:r>
    </w:p>
    <w:p w:rsidR="00D7417E" w:rsidRPr="00D7417E" w:rsidRDefault="00D7417E" w:rsidP="00BD17B5">
      <w:pPr>
        <w:widowControl/>
        <w:spacing w:line="360" w:lineRule="auto"/>
        <w:ind w:firstLineChars="200" w:firstLine="480"/>
        <w:jc w:val="left"/>
        <w:rPr>
          <w:rFonts w:ascii="宋体" w:eastAsia="宋体" w:hAnsi="宋体" w:cs="宋体"/>
          <w:color w:val="000000" w:themeColor="text1"/>
          <w:kern w:val="0"/>
          <w:sz w:val="24"/>
          <w:szCs w:val="24"/>
        </w:rPr>
      </w:pPr>
      <w:proofErr w:type="gramStart"/>
      <w:r w:rsidRPr="00D7417E">
        <w:rPr>
          <w:rFonts w:ascii="宋体" w:eastAsia="宋体" w:hAnsi="宋体" w:cs="宋体"/>
          <w:color w:val="000000" w:themeColor="text1"/>
          <w:kern w:val="0"/>
          <w:sz w:val="24"/>
          <w:szCs w:val="24"/>
        </w:rPr>
        <w:t>思仪科技</w:t>
      </w:r>
      <w:proofErr w:type="gramEnd"/>
      <w:r w:rsidRPr="00D7417E">
        <w:rPr>
          <w:rFonts w:ascii="宋体" w:eastAsia="宋体" w:hAnsi="宋体" w:cs="宋体"/>
          <w:color w:val="000000" w:themeColor="text1"/>
          <w:kern w:val="0"/>
          <w:sz w:val="24"/>
          <w:szCs w:val="24"/>
        </w:rPr>
        <w:t>的变频器产品具有完全自主知识产权，可提供变频模块、组件与整机产品以及全面专业的技术支持与产品服务，并可根据客户需求进行产品定制。更多产品详情，</w:t>
      </w:r>
      <w:proofErr w:type="gramStart"/>
      <w:r w:rsidRPr="00D7417E">
        <w:rPr>
          <w:rFonts w:ascii="宋体" w:eastAsia="宋体" w:hAnsi="宋体" w:cs="宋体"/>
          <w:color w:val="000000" w:themeColor="text1"/>
          <w:kern w:val="0"/>
          <w:sz w:val="24"/>
          <w:szCs w:val="24"/>
        </w:rPr>
        <w:t>请访问公司官网</w:t>
      </w:r>
      <w:proofErr w:type="gramEnd"/>
      <w:r w:rsidRPr="00D7417E">
        <w:rPr>
          <w:rFonts w:ascii="宋体" w:eastAsia="宋体" w:hAnsi="宋体" w:cs="宋体"/>
          <w:color w:val="000000" w:themeColor="text1"/>
          <w:kern w:val="0"/>
          <w:sz w:val="24"/>
          <w:szCs w:val="24"/>
        </w:rPr>
        <w:t>或拨打咨询热线。</w:t>
      </w:r>
    </w:p>
    <w:p w:rsidR="00D02623" w:rsidRPr="00BD17B5" w:rsidRDefault="00D02623" w:rsidP="00BD17B5">
      <w:pPr>
        <w:spacing w:line="360" w:lineRule="auto"/>
        <w:ind w:firstLineChars="200" w:firstLine="480"/>
        <w:rPr>
          <w:rFonts w:ascii="宋体" w:eastAsia="宋体" w:hAnsi="宋体"/>
          <w:color w:val="000000" w:themeColor="text1"/>
          <w:sz w:val="24"/>
          <w:szCs w:val="24"/>
        </w:rPr>
      </w:pPr>
    </w:p>
    <w:sectPr w:rsidR="00D02623" w:rsidRPr="00BD17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8A8"/>
    <w:rsid w:val="000763EE"/>
    <w:rsid w:val="001E2470"/>
    <w:rsid w:val="002248A8"/>
    <w:rsid w:val="00255EF1"/>
    <w:rsid w:val="0031467B"/>
    <w:rsid w:val="003C2455"/>
    <w:rsid w:val="00484D36"/>
    <w:rsid w:val="00692EAA"/>
    <w:rsid w:val="00703FE1"/>
    <w:rsid w:val="00804B5B"/>
    <w:rsid w:val="008E5C5E"/>
    <w:rsid w:val="009066AF"/>
    <w:rsid w:val="00AD21A1"/>
    <w:rsid w:val="00BD17B5"/>
    <w:rsid w:val="00D02623"/>
    <w:rsid w:val="00D7417E"/>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D7417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D7417E"/>
    <w:rPr>
      <w:rFonts w:ascii="宋体" w:eastAsia="宋体" w:hAnsi="宋体" w:cs="宋体"/>
      <w:b/>
      <w:bCs/>
      <w:kern w:val="0"/>
      <w:sz w:val="36"/>
      <w:szCs w:val="36"/>
    </w:rPr>
  </w:style>
  <w:style w:type="paragraph" w:styleId="a3">
    <w:name w:val="Normal (Web)"/>
    <w:basedOn w:val="a"/>
    <w:uiPriority w:val="99"/>
    <w:semiHidden/>
    <w:unhideWhenUsed/>
    <w:rsid w:val="00D7417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7417E"/>
    <w:rPr>
      <w:b/>
      <w:bCs/>
    </w:rPr>
  </w:style>
  <w:style w:type="paragraph" w:styleId="a5">
    <w:name w:val="Balloon Text"/>
    <w:basedOn w:val="a"/>
    <w:link w:val="Char"/>
    <w:uiPriority w:val="99"/>
    <w:semiHidden/>
    <w:unhideWhenUsed/>
    <w:rsid w:val="00D7417E"/>
    <w:rPr>
      <w:sz w:val="18"/>
      <w:szCs w:val="18"/>
    </w:rPr>
  </w:style>
  <w:style w:type="character" w:customStyle="1" w:styleId="Char">
    <w:name w:val="批注框文本 Char"/>
    <w:basedOn w:val="a0"/>
    <w:link w:val="a5"/>
    <w:uiPriority w:val="99"/>
    <w:semiHidden/>
    <w:rsid w:val="00D7417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D7417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D7417E"/>
    <w:rPr>
      <w:rFonts w:ascii="宋体" w:eastAsia="宋体" w:hAnsi="宋体" w:cs="宋体"/>
      <w:b/>
      <w:bCs/>
      <w:kern w:val="0"/>
      <w:sz w:val="36"/>
      <w:szCs w:val="36"/>
    </w:rPr>
  </w:style>
  <w:style w:type="paragraph" w:styleId="a3">
    <w:name w:val="Normal (Web)"/>
    <w:basedOn w:val="a"/>
    <w:uiPriority w:val="99"/>
    <w:semiHidden/>
    <w:unhideWhenUsed/>
    <w:rsid w:val="00D7417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7417E"/>
    <w:rPr>
      <w:b/>
      <w:bCs/>
    </w:rPr>
  </w:style>
  <w:style w:type="paragraph" w:styleId="a5">
    <w:name w:val="Balloon Text"/>
    <w:basedOn w:val="a"/>
    <w:link w:val="Char"/>
    <w:uiPriority w:val="99"/>
    <w:semiHidden/>
    <w:unhideWhenUsed/>
    <w:rsid w:val="00D7417E"/>
    <w:rPr>
      <w:sz w:val="18"/>
      <w:szCs w:val="18"/>
    </w:rPr>
  </w:style>
  <w:style w:type="character" w:customStyle="1" w:styleId="Char">
    <w:name w:val="批注框文本 Char"/>
    <w:basedOn w:val="a0"/>
    <w:link w:val="a5"/>
    <w:uiPriority w:val="99"/>
    <w:semiHidden/>
    <w:rsid w:val="00D7417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311959">
      <w:bodyDiv w:val="1"/>
      <w:marLeft w:val="0"/>
      <w:marRight w:val="0"/>
      <w:marTop w:val="0"/>
      <w:marBottom w:val="0"/>
      <w:divBdr>
        <w:top w:val="none" w:sz="0" w:space="0" w:color="auto"/>
        <w:left w:val="none" w:sz="0" w:space="0" w:color="auto"/>
        <w:bottom w:val="none" w:sz="0" w:space="0" w:color="auto"/>
        <w:right w:val="none" w:sz="0" w:space="0" w:color="auto"/>
      </w:divBdr>
      <w:divsChild>
        <w:div w:id="374475436">
          <w:marLeft w:val="0"/>
          <w:marRight w:val="0"/>
          <w:marTop w:val="0"/>
          <w:marBottom w:val="0"/>
          <w:divBdr>
            <w:top w:val="none" w:sz="0" w:space="0" w:color="auto"/>
            <w:left w:val="none" w:sz="0" w:space="0" w:color="auto"/>
            <w:bottom w:val="single" w:sz="6" w:space="15" w:color="D9D9D9"/>
            <w:right w:val="none" w:sz="0" w:space="0" w:color="auto"/>
          </w:divBdr>
        </w:div>
        <w:div w:id="1737244817">
          <w:marLeft w:val="0"/>
          <w:marRight w:val="0"/>
          <w:marTop w:val="375"/>
          <w:marBottom w:val="450"/>
          <w:divBdr>
            <w:top w:val="none" w:sz="0" w:space="0" w:color="auto"/>
            <w:left w:val="none" w:sz="0" w:space="0" w:color="auto"/>
            <w:bottom w:val="none" w:sz="0" w:space="0" w:color="auto"/>
            <w:right w:val="none" w:sz="0" w:space="0" w:color="auto"/>
          </w:divBdr>
          <w:divsChild>
            <w:div w:id="1978534315">
              <w:marLeft w:val="0"/>
              <w:marRight w:val="0"/>
              <w:marTop w:val="0"/>
              <w:marBottom w:val="0"/>
              <w:divBdr>
                <w:top w:val="none" w:sz="0" w:space="0" w:color="auto"/>
                <w:left w:val="none" w:sz="0" w:space="0" w:color="auto"/>
                <w:bottom w:val="none" w:sz="0" w:space="0" w:color="auto"/>
                <w:right w:val="none" w:sz="0" w:space="0" w:color="auto"/>
              </w:divBdr>
            </w:div>
          </w:divsChild>
        </w:div>
        <w:div w:id="476072771">
          <w:marLeft w:val="0"/>
          <w:marRight w:val="0"/>
          <w:marTop w:val="0"/>
          <w:marBottom w:val="0"/>
          <w:divBdr>
            <w:top w:val="none" w:sz="0" w:space="0" w:color="auto"/>
            <w:left w:val="none" w:sz="0" w:space="0" w:color="auto"/>
            <w:bottom w:val="single" w:sz="6" w:space="31" w:color="D9D9D9"/>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171</Words>
  <Characters>980</Characters>
  <Application>Microsoft Office Word</Application>
  <DocSecurity>0</DocSecurity>
  <Lines>8</Lines>
  <Paragraphs>2</Paragraphs>
  <ScaleCrop>false</ScaleCrop>
  <Company>Organization</Company>
  <LinksUpToDate>false</LinksUpToDate>
  <CharactersWithSpaces>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2025-12-05T01:32:00Z</dcterms:created>
  <dcterms:modified xsi:type="dcterms:W3CDTF">2025-12-05T01:49:00Z</dcterms:modified>
</cp:coreProperties>
</file>