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35F" w:rsidRPr="0070135F" w:rsidRDefault="0070135F" w:rsidP="0070135F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70135F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国产仪器又一黑马？联讯仪器</w:t>
      </w:r>
      <w:proofErr w:type="gramStart"/>
      <w:r w:rsidRPr="0070135F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冲刺科创板</w:t>
      </w:r>
      <w:proofErr w:type="gramEnd"/>
      <w:r w:rsidRPr="0070135F"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  <w:t>IPO，拟募资19.54亿元</w:t>
      </w:r>
      <w:bookmarkEnd w:id="0"/>
    </w:p>
    <w:p w:rsidR="0070135F" w:rsidRPr="0070135F" w:rsidRDefault="0070135F" w:rsidP="0070135F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来源：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仪商网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综合</w:t>
      </w:r>
    </w:p>
    <w:p w:rsidR="0070135F" w:rsidRP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2025年8月15日，上海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证券交易所官网披露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，苏州联讯仪器股份有限公司（下称“联讯仪器”）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科创板首次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公开发行股票申请正式获受理，保荐机构为中信证券。这家由“行业老兵”组建的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硬科技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企业，拟通过本次IPO募集19.54亿元，集中发力下一代光通信、车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规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芯片、存储测试等高端设备研发，为国产高端测试仪器替代进程注入新动能。</w:t>
      </w:r>
    </w:p>
    <w:p w:rsidR="0070135F" w:rsidRDefault="0070135F" w:rsidP="0070135F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3F0BF84D" wp14:editId="49416F4C">
            <wp:extent cx="5351380" cy="1819275"/>
            <wp:effectExtent l="0" t="0" r="1905" b="0"/>
            <wp:docPr id="5" name="图片 5" descr="https://www.861718.com/storage/uploads/20251219/d68ef8285675c7993b13815c48f0dc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861718.com/storage/uploads/20251219/d68ef8285675c7993b13815c48f0dc7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619" cy="182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公司的主营业务为电子测量仪器和半导体测试设备的研发、制造、销售及服务，是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业内极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少数覆盖光通信产业链模块、芯片、晶圆等核心环节测试需求的厂商。</w:t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自成立以来，联讯仪器便聚焦“卡脖子”赛道，在高速信号处理、微弱信号处理、超精密运动控制三大核心技术领域持续攻坚，形成覆盖光通信、半导体的全场景测试能力，多项技术成果填补国内空白。</w:t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同时技术上也不断在突破，从市场格局来看，全球采样示波器市场生产企业包括比克科技（Pico Technology）、泰克科技有限公司（Tektronix）、力科（</w:t>
      </w:r>
      <w:proofErr w:type="spell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LeCroy</w:t>
      </w:r>
      <w:proofErr w:type="spell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）、苏州联讯仪器有限公司等，主要集中在中国、美国、日本、德国、加拿大等地区。其中美国、日本等发达国家生产企业凭借技术优势，占据全球高端采样示波器市场主导地位。而苏州联讯仪器有限公司是我国最大的采样示波器生产企业，其推出的50GHz采样示波器主要面向400G、800G高速光模块测试需求，已实现大规模量产供货；同时，公司也是全球第二家推出65GHz采样示波器（面向1.6T光模块测试需求）的生产商。</w:t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lastRenderedPageBreak/>
        <w:t>而联讯仪器并未止步于现有成果，正加速拓展产品边界。公司计划进一步丰富产品布局，重点推进实时示波器、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硅光芯片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测试系统、半导体综合参数分析仪等产品研发，深化光通信、半导体测试领域的全场景覆盖。</w:t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2025年12月2日，这家中国最大的光通信测试仪器厂家明确规划：研发70GHz实时示波器与任意波形发生器。在现有采样示波器基础上，新设备将针对高速实时信号测试需求，把通道带宽和采样速率分别提升至70GHz、200GSa/s，性能对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标国际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顶尖水平。</w:t>
      </w:r>
    </w:p>
    <w:p w:rsidR="0070135F" w:rsidRP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97BBF0E" wp14:editId="2B5D6776">
            <wp:extent cx="4048125" cy="2427262"/>
            <wp:effectExtent l="0" t="0" r="0" b="0"/>
            <wp:docPr id="4" name="图片 4" descr="https://www.861718.com/storage/uploads/20251219/6446ab96e3d654925eb7764fc59f45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861718.com/storage/uploads/20251219/6446ab96e3d654925eb7764fc59f452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2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5F" w:rsidRP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而根据</w:t>
      </w: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Frost&amp; Sullivan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数据，</w:t>
      </w:r>
      <w:r w:rsidRPr="0070135F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2024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年其在中国光电子器件测试设备、中国碳化硅功率器件</w:t>
      </w:r>
      <w:proofErr w:type="gramStart"/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晶圆级老化</w:t>
      </w:r>
      <w:proofErr w:type="gramEnd"/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系统市场份额均排名第一，在中国光通信测试仪器市场份额排名第三。客户覆盖中</w:t>
      </w:r>
      <w:proofErr w:type="gramStart"/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际旭创</w:t>
      </w:r>
      <w:proofErr w:type="gramEnd"/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、新易盛、比亚迪半导体、</w:t>
      </w:r>
      <w:proofErr w:type="gramStart"/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芯联集成</w:t>
      </w:r>
      <w:proofErr w:type="gramEnd"/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等国内外头部企业，境外收入占比从</w:t>
      </w:r>
      <w:r w:rsidRPr="0070135F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2022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年的</w:t>
      </w:r>
      <w:r w:rsidRPr="0070135F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13.54% 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提升至</w:t>
      </w:r>
      <w:r w:rsidRPr="0070135F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2025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年一季度的</w:t>
      </w:r>
      <w:r w:rsidRPr="0070135F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20.23%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，产品已进入日本住友、美国</w:t>
      </w:r>
      <w:r w:rsidRPr="0070135F">
        <w:rPr>
          <w:rFonts w:ascii="宋体" w:eastAsia="宋体" w:hAnsi="宋体" w:cs="Calibri"/>
          <w:color w:val="000000" w:themeColor="text1"/>
          <w:kern w:val="0"/>
          <w:sz w:val="24"/>
          <w:szCs w:val="24"/>
        </w:rPr>
        <w:t>ONSEMI</w:t>
      </w:r>
      <w:r w:rsidRPr="0070135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等全球供应链。</w:t>
      </w:r>
    </w:p>
    <w:p w:rsidR="0070135F" w:rsidRDefault="0070135F" w:rsidP="0070135F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6AE94E3" wp14:editId="0292AF32">
            <wp:extent cx="4733925" cy="2456847"/>
            <wp:effectExtent l="0" t="0" r="0" b="635"/>
            <wp:docPr id="3" name="图片 3" descr="https://www.861718.com/storage/uploads/20251219/ec20310b67fb99129162237a906c78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861718.com/storage/uploads/20251219/ec20310b67fb99129162237a906c78b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5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再从其财务数据也能观察到，2022-2024年公司营业收入从2.14亿元增长至7.89亿元，复合增长率达91.79%；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归母净利润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方面，2022年、2023年分别亏损 3807 万元、5539.38万元，2024 年实现扭亏为盈，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归母净利润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达1.4亿元，2025年一季度继续盈利1932.87万元；毛利率同步提升，从2022年的43.61% 增长至2025年一季度的65.33%，主要因高毛利率的通信测试仪器及功率器件测试设备收入占比提升。</w:t>
      </w:r>
    </w:p>
    <w:p w:rsidR="0070135F" w:rsidRDefault="0070135F" w:rsidP="0070135F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17675101" wp14:editId="719B5E24">
            <wp:extent cx="5276850" cy="1752600"/>
            <wp:effectExtent l="0" t="0" r="0" b="0"/>
            <wp:docPr id="2" name="图片 2" descr="https://www.861718.com/storage/uploads/20251219/ef13343454a90f025ee5b932d81888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861718.com/storage/uploads/20251219/ef13343454a90f025ee5b932d81888c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5F" w:rsidRDefault="0070135F" w:rsidP="0070135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此次募资将全部聚焦主营业务核心领域，进一步巩固技术优势与产能布局，推动国产高端测试仪器在更多“卡脖子”环节实现自主可控。联讯仪器的</w:t>
      </w:r>
      <w:proofErr w:type="gramStart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科创板</w:t>
      </w:r>
      <w:proofErr w:type="gramEnd"/>
      <w:r w:rsidRPr="0070135F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之路，不仅是企业自身资本化的关键一步，更折射出国产高端测试仪器打破国外高端仪器垄断的成效，为行业自主化发展提供了重要示范。</w:t>
      </w:r>
    </w:p>
    <w:p w:rsidR="00D02623" w:rsidRPr="0070135F" w:rsidRDefault="0070135F" w:rsidP="0070135F">
      <w:pPr>
        <w:widowControl/>
        <w:shd w:val="clear" w:color="auto" w:fill="FFFFFF"/>
        <w:spacing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70135F">
        <w:rPr>
          <w:rFonts w:ascii="宋体" w:eastAsia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6A8CE7D3" wp14:editId="3AA66896">
            <wp:extent cx="4844124" cy="3838575"/>
            <wp:effectExtent l="0" t="0" r="0" b="0"/>
            <wp:docPr id="1" name="图片 1" descr="https://www.861718.com/storage/uploads/20251219/2a1605ad892099a97244f468de9f6e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861718.com/storage/uploads/20251219/2a1605ad892099a97244f468de9f6ec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124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623" w:rsidRPr="00701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27"/>
    <w:rsid w:val="000763EE"/>
    <w:rsid w:val="001E2470"/>
    <w:rsid w:val="00255EF1"/>
    <w:rsid w:val="0031467B"/>
    <w:rsid w:val="003C2455"/>
    <w:rsid w:val="00484D36"/>
    <w:rsid w:val="005A0327"/>
    <w:rsid w:val="00692EAA"/>
    <w:rsid w:val="0070135F"/>
    <w:rsid w:val="00703FE1"/>
    <w:rsid w:val="00804B5B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13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35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13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13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13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13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135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13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0135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013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0058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</Words>
  <Characters>1198</Characters>
  <Application>Microsoft Office Word</Application>
  <DocSecurity>0</DocSecurity>
  <Lines>9</Lines>
  <Paragraphs>2</Paragraphs>
  <ScaleCrop>false</ScaleCrop>
  <Company>Organization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2025-12-19T03:54:00Z</dcterms:created>
  <dcterms:modified xsi:type="dcterms:W3CDTF">2025-12-19T03:58:00Z</dcterms:modified>
</cp:coreProperties>
</file>