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A" w:rsidRPr="001162AA" w:rsidRDefault="001162AA" w:rsidP="001162AA">
      <w:pPr>
        <w:spacing w:line="360" w:lineRule="auto"/>
        <w:jc w:val="center"/>
        <w:rPr>
          <w:rFonts w:ascii="黑体" w:eastAsia="黑体" w:hAnsi="黑体" w:hint="eastAsia"/>
          <w:color w:val="000000" w:themeColor="text1"/>
          <w:sz w:val="28"/>
          <w:szCs w:val="28"/>
        </w:rPr>
      </w:pPr>
      <w:bookmarkStart w:id="0" w:name="_GoBack"/>
      <w:r w:rsidRPr="001162AA">
        <w:rPr>
          <w:rFonts w:ascii="黑体" w:eastAsia="黑体" w:hAnsi="黑体" w:hint="eastAsia"/>
          <w:color w:val="000000" w:themeColor="text1"/>
          <w:sz w:val="28"/>
          <w:szCs w:val="28"/>
        </w:rPr>
        <w:t>万里眼70GHz示波器385万中标华中科大，国产示波器进入“带宽竞赛”模式</w:t>
      </w:r>
      <w:bookmarkEnd w:id="0"/>
    </w:p>
    <w:p w:rsidR="001162AA" w:rsidRPr="001162AA" w:rsidRDefault="001162AA" w:rsidP="001162AA">
      <w:pPr>
        <w:spacing w:line="360" w:lineRule="auto"/>
        <w:jc w:val="center"/>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来源：</w:t>
      </w:r>
      <w:proofErr w:type="gramStart"/>
      <w:r w:rsidRPr="001162AA">
        <w:rPr>
          <w:rFonts w:ascii="宋体" w:eastAsia="宋体" w:hAnsi="宋体" w:hint="eastAsia"/>
          <w:color w:val="000000" w:themeColor="text1"/>
          <w:sz w:val="24"/>
          <w:szCs w:val="24"/>
        </w:rPr>
        <w:t>仪商网</w:t>
      </w:r>
      <w:proofErr w:type="gramEnd"/>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自万里</w:t>
      </w:r>
      <w:proofErr w:type="gramStart"/>
      <w:r w:rsidRPr="001162AA">
        <w:rPr>
          <w:rFonts w:ascii="宋体" w:eastAsia="宋体" w:hAnsi="宋体" w:hint="eastAsia"/>
          <w:color w:val="000000" w:themeColor="text1"/>
          <w:sz w:val="24"/>
          <w:szCs w:val="24"/>
        </w:rPr>
        <w:t>眼发布</w:t>
      </w:r>
      <w:proofErr w:type="gramEnd"/>
      <w:r w:rsidRPr="001162AA">
        <w:rPr>
          <w:rFonts w:ascii="宋体" w:eastAsia="宋体" w:hAnsi="宋体" w:hint="eastAsia"/>
          <w:color w:val="000000" w:themeColor="text1"/>
          <w:sz w:val="24"/>
          <w:szCs w:val="24"/>
        </w:rPr>
        <w:t xml:space="preserve">90GHz带宽示波器以来，万里眼的一举一动都备受关注。根据中国政府采购网发布的中标公告，近期万里眼高速实时示波器订单持续落地。其中，万里眼70GHz示波器385万中标华中科大尤为显眼。 </w:t>
      </w:r>
    </w:p>
    <w:p w:rsidR="001162AA" w:rsidRPr="001162AA" w:rsidRDefault="001162AA" w:rsidP="001162AA">
      <w:pPr>
        <w:spacing w:line="360" w:lineRule="auto"/>
        <w:ind w:firstLineChars="200" w:firstLine="482"/>
        <w:rPr>
          <w:rFonts w:ascii="宋体" w:eastAsia="宋体" w:hAnsi="宋体" w:hint="eastAsia"/>
          <w:b/>
          <w:color w:val="000000" w:themeColor="text1"/>
          <w:sz w:val="24"/>
          <w:szCs w:val="24"/>
        </w:rPr>
      </w:pPr>
      <w:r w:rsidRPr="001162AA">
        <w:rPr>
          <w:rFonts w:ascii="宋体" w:eastAsia="宋体" w:hAnsi="宋体" w:hint="eastAsia"/>
          <w:b/>
          <w:color w:val="000000" w:themeColor="text1"/>
          <w:sz w:val="24"/>
          <w:szCs w:val="24"/>
        </w:rPr>
        <w:t xml:space="preserve"> 打破技术封锁，国产替代加速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 2025年12月16日，华中科技大学高速示波器采购项目中标结果显示，万里眼</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TS0702AP 70GHz带宽实时示波器以385.2万元成功中标。此外，11月26日，万里眼</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TS0254BP 25GHz带宽实时示波器以256.5万的价格“拿下”中标中国地质大学（武汉）采购项目。以及，12月6日，万里眼</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TS0254BP 25GHz带宽实时示波器以257万元中标北京理工大学采购项目中的高速数字示波器。 </w:t>
      </w:r>
    </w:p>
    <w:p w:rsidR="001162AA" w:rsidRDefault="001162AA" w:rsidP="001162AA">
      <w:pPr>
        <w:spacing w:line="360" w:lineRule="auto"/>
        <w:jc w:val="center"/>
        <w:rPr>
          <w:rFonts w:ascii="宋体" w:eastAsia="宋体" w:hAnsi="宋体" w:hint="eastAsia"/>
          <w:color w:val="000000" w:themeColor="text1"/>
          <w:sz w:val="24"/>
          <w:szCs w:val="24"/>
        </w:rPr>
      </w:pPr>
      <w:r>
        <w:rPr>
          <w:noProof/>
        </w:rPr>
        <w:drawing>
          <wp:inline distT="0" distB="0" distL="0" distR="0">
            <wp:extent cx="5274310" cy="1269576"/>
            <wp:effectExtent l="0" t="0" r="2540" b="6985"/>
            <wp:docPr id="1" name="图片 1" descr="https://www.861718.com/storage/uploads/20251226/289e8ebd16348780082ece2734f05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storage/uploads/20251226/289e8ebd16348780082ece2734f0539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269576"/>
                    </a:xfrm>
                    <a:prstGeom prst="rect">
                      <a:avLst/>
                    </a:prstGeom>
                    <a:noFill/>
                    <a:ln>
                      <a:noFill/>
                    </a:ln>
                  </pic:spPr>
                </pic:pic>
              </a:graphicData>
            </a:graphic>
          </wp:inline>
        </w:drawing>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回看本次招标需求，华中科技大学本次项目核心采购70GHz带宽高速数字采样实时示波器及配套服务，主要应用于光通信系统、光器件、光算法相关研究工作，通过高速示波器实现对高速信号的采集、分析与验证。采购要求明确界定，示波器需具备高带宽、低噪声、高采样率特性，同时支持多通道测量功能，以满足高频信号精准采集与分析的核心需求。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 华中科技大学这次采购高速数字采样实时示波器的重要指标要求是，每通道模拟带宽≥70GHz，提供≥2个物理通道，每通道采样率≥200GSa/s，幅度平坦度±3dB或以内（@60GHz~70GHz），相位平坦度±5°或以内（@60GHz~70GHz），通道间偏差≤±3ps等等。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 而中国地质大学（武汉）高速数字采样实时示波器采购需求中，其中，重要指标要求是，每通道模拟带宽≥25GHz（提供≥4个物理通道）或每通道模拟</w:t>
      </w:r>
      <w:r w:rsidRPr="001162AA">
        <w:rPr>
          <w:rFonts w:ascii="宋体" w:eastAsia="宋体" w:hAnsi="宋体" w:hint="eastAsia"/>
          <w:color w:val="000000" w:themeColor="text1"/>
          <w:sz w:val="24"/>
          <w:szCs w:val="24"/>
        </w:rPr>
        <w:lastRenderedPageBreak/>
        <w:t xml:space="preserve">带宽≥33GHz（提供≥2个物理通道），每通道采样率≥100GSa/s，存储深度≥500Mpts等等。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 北京理工大学采购高速数字示波器的重要指标要求是，4通道，每个通道均满足最大带宽；示波器带宽：≥25GHz；可升级带宽：≥40GHz，；采样率要求：≥100GSa/S；单通道存储深度：≥2G等。 </w:t>
      </w:r>
    </w:p>
    <w:p w:rsid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万里</w:t>
      </w:r>
      <w:proofErr w:type="gramStart"/>
      <w:r w:rsidRPr="001162AA">
        <w:rPr>
          <w:rFonts w:ascii="宋体" w:eastAsia="宋体" w:hAnsi="宋体" w:hint="eastAsia"/>
          <w:color w:val="000000" w:themeColor="text1"/>
          <w:sz w:val="24"/>
          <w:szCs w:val="24"/>
        </w:rPr>
        <w:t>眼近期</w:t>
      </w:r>
      <w:proofErr w:type="gramEnd"/>
      <w:r w:rsidRPr="001162AA">
        <w:rPr>
          <w:rFonts w:ascii="宋体" w:eastAsia="宋体" w:hAnsi="宋体" w:hint="eastAsia"/>
          <w:color w:val="000000" w:themeColor="text1"/>
          <w:sz w:val="24"/>
          <w:szCs w:val="24"/>
        </w:rPr>
        <w:t>中标的是</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TS系列实时示波器，包含25/33/40/50/60/70/80/90GHz八大带宽型号，支持2-4通道灵活配置，硬件输入动态范围覆盖60mV fs~4V </w:t>
      </w:r>
      <w:proofErr w:type="spellStart"/>
      <w:r w:rsidRPr="001162AA">
        <w:rPr>
          <w:rFonts w:ascii="宋体" w:eastAsia="宋体" w:hAnsi="宋体" w:hint="eastAsia"/>
          <w:color w:val="000000" w:themeColor="text1"/>
          <w:sz w:val="24"/>
          <w:szCs w:val="24"/>
        </w:rPr>
        <w:t>fs</w:t>
      </w:r>
      <w:proofErr w:type="spellEnd"/>
      <w:r w:rsidRPr="001162AA">
        <w:rPr>
          <w:rFonts w:ascii="宋体" w:eastAsia="宋体" w:hAnsi="宋体" w:hint="eastAsia"/>
          <w:color w:val="000000" w:themeColor="text1"/>
          <w:sz w:val="24"/>
          <w:szCs w:val="24"/>
        </w:rPr>
        <w:t xml:space="preserve">，可适配不同场景的高频测量需求。 </w:t>
      </w:r>
    </w:p>
    <w:p w:rsidR="001162AA" w:rsidRPr="001162AA" w:rsidRDefault="001162AA" w:rsidP="001162AA">
      <w:pPr>
        <w:spacing w:line="360" w:lineRule="auto"/>
        <w:jc w:val="center"/>
        <w:rPr>
          <w:rFonts w:ascii="宋体" w:eastAsia="宋体" w:hAnsi="宋体" w:hint="eastAsia"/>
          <w:color w:val="000000" w:themeColor="text1"/>
          <w:sz w:val="24"/>
          <w:szCs w:val="24"/>
        </w:rPr>
      </w:pPr>
      <w:r>
        <w:rPr>
          <w:noProof/>
        </w:rPr>
        <w:drawing>
          <wp:inline distT="0" distB="0" distL="0" distR="0" wp14:anchorId="702EAA7F" wp14:editId="494FC731">
            <wp:extent cx="4676775" cy="2841228"/>
            <wp:effectExtent l="0" t="0" r="0" b="0"/>
            <wp:docPr id="2" name="图片 2" descr="https://www.861718.com/storage/uploads/20251226/a767193b814f756e9342d85a2d3ae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storage/uploads/20251226/a767193b814f756e9342d85a2d3aee6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2389" cy="2844639"/>
                    </a:xfrm>
                    <a:prstGeom prst="rect">
                      <a:avLst/>
                    </a:prstGeom>
                    <a:noFill/>
                    <a:ln>
                      <a:noFill/>
                    </a:ln>
                  </pic:spPr>
                </pic:pic>
              </a:graphicData>
            </a:graphic>
          </wp:inline>
        </w:drawing>
      </w:r>
    </w:p>
    <w:p w:rsidR="001162AA" w:rsidRPr="001162AA" w:rsidRDefault="001162AA" w:rsidP="001162AA">
      <w:pPr>
        <w:spacing w:line="360" w:lineRule="auto"/>
        <w:jc w:val="center"/>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（万里眼 </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 系列超高速实时示波器，25 GHz～90GHz带宽，200 </w:t>
      </w:r>
      <w:proofErr w:type="spellStart"/>
      <w:r w:rsidRPr="001162AA">
        <w:rPr>
          <w:rFonts w:ascii="宋体" w:eastAsia="宋体" w:hAnsi="宋体" w:hint="eastAsia"/>
          <w:color w:val="000000" w:themeColor="text1"/>
          <w:sz w:val="24"/>
          <w:szCs w:val="24"/>
        </w:rPr>
        <w:t>GSa</w:t>
      </w:r>
      <w:proofErr w:type="spellEnd"/>
      <w:r w:rsidRPr="001162AA">
        <w:rPr>
          <w:rFonts w:ascii="宋体" w:eastAsia="宋体" w:hAnsi="宋体" w:hint="eastAsia"/>
          <w:color w:val="000000" w:themeColor="text1"/>
          <w:sz w:val="24"/>
          <w:szCs w:val="24"/>
        </w:rPr>
        <w:t>/s采样率）</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其中，这次中标华中科技大学的示波器型号为万里眼</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TS0702AP（隶属</w:t>
      </w:r>
      <w:proofErr w:type="spellStart"/>
      <w:r w:rsidRPr="001162AA">
        <w:rPr>
          <w:rFonts w:ascii="宋体" w:eastAsia="宋体" w:hAnsi="宋体" w:hint="eastAsia"/>
          <w:color w:val="000000" w:themeColor="text1"/>
          <w:sz w:val="24"/>
          <w:szCs w:val="24"/>
        </w:rPr>
        <w:t>ExWave</w:t>
      </w:r>
      <w:proofErr w:type="spellEnd"/>
      <w:r w:rsidRPr="001162AA">
        <w:rPr>
          <w:rFonts w:ascii="宋体" w:eastAsia="宋体" w:hAnsi="宋体" w:hint="eastAsia"/>
          <w:color w:val="000000" w:themeColor="text1"/>
          <w:sz w:val="24"/>
          <w:szCs w:val="24"/>
        </w:rPr>
        <w:t xml:space="preserve"> TS系列），具体参数为：带宽70GHz、2通道配置，单通道采样率达200Gsa/s。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 《瓦森纳协定》将带宽≥60GHz的示波器纳入管制清单，严禁向中国出口，国际巨头对中国出口的示波器带宽上限仅为59GHz，形成了技术封锁壁垒。此前受《瓦森纳协议》限制，59GHz以上带宽示波器长期对华禁运，国内公开市场从未有相关采购记录。随着万里眼于2025年10月15日发布90GHz实时示波器，这一技术封锁被打破，所有人翘首以待：国内公开招标市场何时能迎来59GHz以上示波器采购的历史性突破？此次国内首次公开招标采购59GHz以上带宽示波器，这是国内电子测试仪器市场具有重大意义的里程碑时刻。 </w:t>
      </w:r>
    </w:p>
    <w:p w:rsidR="001162AA" w:rsidRPr="001162AA" w:rsidRDefault="001162AA" w:rsidP="001162AA">
      <w:pPr>
        <w:spacing w:line="360" w:lineRule="auto"/>
        <w:ind w:firstLineChars="200" w:firstLine="482"/>
        <w:rPr>
          <w:rFonts w:ascii="宋体" w:eastAsia="宋体" w:hAnsi="宋体" w:hint="eastAsia"/>
          <w:b/>
          <w:color w:val="000000" w:themeColor="text1"/>
          <w:sz w:val="24"/>
          <w:szCs w:val="24"/>
        </w:rPr>
      </w:pPr>
      <w:r w:rsidRPr="001162AA">
        <w:rPr>
          <w:rFonts w:ascii="宋体" w:eastAsia="宋体" w:hAnsi="宋体" w:hint="eastAsia"/>
          <w:b/>
          <w:color w:val="000000" w:themeColor="text1"/>
          <w:sz w:val="24"/>
          <w:szCs w:val="24"/>
        </w:rPr>
        <w:t xml:space="preserve">国产示波器进入“带宽竞赛”模式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实时示波器作为电子工程师观察电信号的“眼睛”和“标尺”，其应用范围覆盖了从前沿科研到产品落地的众多高科技领域，贯穿了半导体、下一代通信、智能驾驶等前沿科技的研发、设计验证到生产测试的全过程。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实时示波器的核心指标是一个相互关联的系统：带宽决定能测量多高的信号频率，采样率决定对信号细节的还原精度，两者共同构建了测量的基础能力。存储深度则决定了在高采样率下能连续捕获多长时间的波形，确保不丢失细节。而波形捕获率如同示波器的“洞察力”，决定了捕捉偶发异常事件的效率。换句话说，实时示波器的带宽和采样率决定“能力天花板”（能看多快多细），存储深度决定“续航”（能看多久），波形捕获率决定“洞察效率”（能否发现异常）。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因此，带宽是示波器最重要的指标之一。今年以来，国产示波器厂商加快了产品迭代，推出了更高带宽的示波器。 </w:t>
      </w:r>
    </w:p>
    <w:p w:rsidR="001162AA" w:rsidRPr="001162AA" w:rsidRDefault="001162AA" w:rsidP="001162AA">
      <w:pPr>
        <w:spacing w:line="360" w:lineRule="auto"/>
        <w:ind w:firstLineChars="200" w:firstLine="480"/>
        <w:rPr>
          <w:rFonts w:ascii="宋体" w:eastAsia="宋体" w:hAnsi="宋体"/>
          <w:color w:val="000000" w:themeColor="text1"/>
          <w:sz w:val="24"/>
          <w:szCs w:val="24"/>
        </w:rPr>
      </w:pPr>
      <w:r w:rsidRPr="001162AA">
        <w:rPr>
          <w:rFonts w:ascii="宋体" w:eastAsia="宋体" w:hAnsi="宋体"/>
          <w:color w:val="000000" w:themeColor="text1"/>
          <w:sz w:val="24"/>
          <w:szCs w:val="24"/>
        </w:rPr>
        <w:t>2025</w:t>
      </w:r>
      <w:r w:rsidRPr="001162AA">
        <w:rPr>
          <w:rFonts w:ascii="宋体" w:eastAsia="宋体" w:hAnsi="宋体" w:hint="eastAsia"/>
          <w:color w:val="000000" w:themeColor="text1"/>
          <w:sz w:val="24"/>
          <w:szCs w:val="24"/>
        </w:rPr>
        <w:t>年</w:t>
      </w:r>
      <w:r w:rsidRPr="001162AA">
        <w:rPr>
          <w:rFonts w:ascii="宋体" w:eastAsia="宋体" w:hAnsi="宋体"/>
          <w:color w:val="000000" w:themeColor="text1"/>
          <w:sz w:val="24"/>
          <w:szCs w:val="24"/>
        </w:rPr>
        <w:t>10</w:t>
      </w:r>
      <w:r w:rsidRPr="001162AA">
        <w:rPr>
          <w:rFonts w:ascii="宋体" w:eastAsia="宋体" w:hAnsi="宋体" w:hint="eastAsia"/>
          <w:color w:val="000000" w:themeColor="text1"/>
          <w:sz w:val="24"/>
          <w:szCs w:val="24"/>
        </w:rPr>
        <w:t>月</w:t>
      </w:r>
      <w:r w:rsidRPr="001162AA">
        <w:rPr>
          <w:rFonts w:ascii="宋体" w:eastAsia="宋体" w:hAnsi="宋体"/>
          <w:color w:val="000000" w:themeColor="text1"/>
          <w:sz w:val="24"/>
          <w:szCs w:val="24"/>
        </w:rPr>
        <w:t>10</w:t>
      </w:r>
      <w:r w:rsidRPr="001162AA">
        <w:rPr>
          <w:rFonts w:ascii="宋体" w:eastAsia="宋体" w:hAnsi="宋体" w:hint="eastAsia"/>
          <w:color w:val="000000" w:themeColor="text1"/>
          <w:sz w:val="24"/>
          <w:szCs w:val="24"/>
        </w:rPr>
        <w:t>日，</w:t>
      </w:r>
      <w:proofErr w:type="gramStart"/>
      <w:r w:rsidRPr="001162AA">
        <w:rPr>
          <w:rFonts w:ascii="宋体" w:eastAsia="宋体" w:hAnsi="宋体" w:hint="eastAsia"/>
          <w:color w:val="000000" w:themeColor="text1"/>
          <w:sz w:val="24"/>
          <w:szCs w:val="24"/>
        </w:rPr>
        <w:t>鼎阳科技</w:t>
      </w:r>
      <w:proofErr w:type="gramEnd"/>
      <w:r w:rsidRPr="001162AA">
        <w:rPr>
          <w:rFonts w:ascii="宋体" w:eastAsia="宋体" w:hAnsi="宋体" w:hint="eastAsia"/>
          <w:color w:val="000000" w:themeColor="text1"/>
          <w:sz w:val="24"/>
          <w:szCs w:val="24"/>
        </w:rPr>
        <w:t>发布</w:t>
      </w:r>
      <w:r w:rsidRPr="001162AA">
        <w:rPr>
          <w:rFonts w:ascii="宋体" w:eastAsia="宋体" w:hAnsi="宋体"/>
          <w:color w:val="000000" w:themeColor="text1"/>
          <w:sz w:val="24"/>
          <w:szCs w:val="24"/>
        </w:rPr>
        <w:t>SDS8000A</w:t>
      </w:r>
      <w:r w:rsidRPr="001162AA">
        <w:rPr>
          <w:rFonts w:ascii="宋体" w:eastAsia="宋体" w:hAnsi="宋体" w:hint="eastAsia"/>
          <w:color w:val="000000" w:themeColor="text1"/>
          <w:sz w:val="24"/>
          <w:szCs w:val="24"/>
        </w:rPr>
        <w:t>系列高带宽高分辨率数字示波器。</w:t>
      </w:r>
      <w:r w:rsidRPr="001162AA">
        <w:rPr>
          <w:rFonts w:ascii="宋体" w:eastAsia="宋体" w:hAnsi="宋体"/>
          <w:color w:val="000000" w:themeColor="text1"/>
          <w:sz w:val="24"/>
          <w:szCs w:val="24"/>
        </w:rPr>
        <w:t>SDS8000A</w:t>
      </w:r>
      <w:r w:rsidRPr="001162AA">
        <w:rPr>
          <w:rFonts w:ascii="宋体" w:eastAsia="宋体" w:hAnsi="宋体" w:hint="eastAsia"/>
          <w:color w:val="000000" w:themeColor="text1"/>
          <w:sz w:val="24"/>
          <w:szCs w:val="24"/>
        </w:rPr>
        <w:t>模拟通道带宽最高可达</w:t>
      </w:r>
      <w:r w:rsidRPr="001162AA">
        <w:rPr>
          <w:rFonts w:ascii="宋体" w:eastAsia="宋体" w:hAnsi="宋体"/>
          <w:color w:val="000000" w:themeColor="text1"/>
          <w:sz w:val="24"/>
          <w:szCs w:val="24"/>
        </w:rPr>
        <w:t>16</w:t>
      </w:r>
      <w:r w:rsidRPr="001162AA">
        <w:rPr>
          <w:rFonts w:ascii="Times New Roman" w:eastAsia="宋体" w:hAnsi="Times New Roman" w:cs="Times New Roman"/>
          <w:color w:val="000000" w:themeColor="text1"/>
          <w:sz w:val="24"/>
          <w:szCs w:val="24"/>
        </w:rPr>
        <w:t> </w:t>
      </w:r>
      <w:r w:rsidRPr="001162AA">
        <w:rPr>
          <w:rFonts w:ascii="宋体" w:eastAsia="宋体" w:hAnsi="宋体"/>
          <w:color w:val="000000" w:themeColor="text1"/>
          <w:sz w:val="24"/>
          <w:szCs w:val="24"/>
        </w:rPr>
        <w:t>GHz</w:t>
      </w:r>
      <w:r w:rsidRPr="001162AA">
        <w:rPr>
          <w:rFonts w:ascii="宋体" w:eastAsia="宋体" w:hAnsi="宋体" w:hint="eastAsia"/>
          <w:color w:val="000000" w:themeColor="text1"/>
          <w:sz w:val="24"/>
          <w:szCs w:val="24"/>
        </w:rPr>
        <w:t>，搭载基于硬件</w:t>
      </w:r>
      <w:r w:rsidRPr="001162AA">
        <w:rPr>
          <w:rFonts w:ascii="宋体" w:eastAsia="宋体" w:hAnsi="宋体"/>
          <w:color w:val="000000" w:themeColor="text1"/>
          <w:sz w:val="24"/>
          <w:szCs w:val="24"/>
        </w:rPr>
        <w:t>ADC</w:t>
      </w:r>
      <w:r w:rsidRPr="001162AA">
        <w:rPr>
          <w:rFonts w:ascii="宋体" w:eastAsia="宋体" w:hAnsi="宋体" w:hint="eastAsia"/>
          <w:color w:val="000000" w:themeColor="text1"/>
          <w:sz w:val="24"/>
          <w:szCs w:val="24"/>
        </w:rPr>
        <w:t>实现的</w:t>
      </w:r>
      <w:r w:rsidRPr="001162AA">
        <w:rPr>
          <w:rFonts w:ascii="宋体" w:eastAsia="宋体" w:hAnsi="宋体"/>
          <w:color w:val="000000" w:themeColor="text1"/>
          <w:sz w:val="24"/>
          <w:szCs w:val="24"/>
        </w:rPr>
        <w:t>12-bit</w:t>
      </w:r>
      <w:r w:rsidRPr="001162AA">
        <w:rPr>
          <w:rFonts w:ascii="宋体" w:eastAsia="宋体" w:hAnsi="宋体" w:hint="eastAsia"/>
          <w:color w:val="000000" w:themeColor="text1"/>
          <w:sz w:val="24"/>
          <w:szCs w:val="24"/>
        </w:rPr>
        <w:t>垂直分辨率，每通道实时采样率高达</w:t>
      </w:r>
      <w:r w:rsidRPr="001162AA">
        <w:rPr>
          <w:rFonts w:ascii="宋体" w:eastAsia="宋体" w:hAnsi="宋体"/>
          <w:color w:val="000000" w:themeColor="text1"/>
          <w:sz w:val="24"/>
          <w:szCs w:val="24"/>
        </w:rPr>
        <w:t>40</w:t>
      </w:r>
      <w:r w:rsidRPr="001162AA">
        <w:rPr>
          <w:rFonts w:ascii="Times New Roman" w:eastAsia="宋体" w:hAnsi="Times New Roman" w:cs="Times New Roman"/>
          <w:color w:val="000000" w:themeColor="text1"/>
          <w:sz w:val="24"/>
          <w:szCs w:val="24"/>
        </w:rPr>
        <w:t> </w:t>
      </w:r>
      <w:proofErr w:type="spellStart"/>
      <w:r w:rsidRPr="001162AA">
        <w:rPr>
          <w:rFonts w:ascii="宋体" w:eastAsia="宋体" w:hAnsi="宋体"/>
          <w:color w:val="000000" w:themeColor="text1"/>
          <w:sz w:val="24"/>
          <w:szCs w:val="24"/>
        </w:rPr>
        <w:t>GSa</w:t>
      </w:r>
      <w:proofErr w:type="spellEnd"/>
      <w:r w:rsidRPr="001162AA">
        <w:rPr>
          <w:rFonts w:ascii="宋体" w:eastAsia="宋体" w:hAnsi="宋体"/>
          <w:color w:val="000000" w:themeColor="text1"/>
          <w:sz w:val="24"/>
          <w:szCs w:val="24"/>
        </w:rPr>
        <w:t>/s</w:t>
      </w:r>
      <w:r w:rsidRPr="001162AA">
        <w:rPr>
          <w:rFonts w:ascii="宋体" w:eastAsia="宋体" w:hAnsi="宋体" w:hint="eastAsia"/>
          <w:color w:val="000000" w:themeColor="text1"/>
          <w:sz w:val="24"/>
          <w:szCs w:val="24"/>
        </w:rPr>
        <w:t>，存储深度最大</w:t>
      </w:r>
      <w:r w:rsidRPr="001162AA">
        <w:rPr>
          <w:rFonts w:ascii="宋体" w:eastAsia="宋体" w:hAnsi="宋体"/>
          <w:color w:val="000000" w:themeColor="text1"/>
          <w:sz w:val="24"/>
          <w:szCs w:val="24"/>
        </w:rPr>
        <w:t xml:space="preserve">2 </w:t>
      </w:r>
      <w:proofErr w:type="spellStart"/>
      <w:r w:rsidRPr="001162AA">
        <w:rPr>
          <w:rFonts w:ascii="宋体" w:eastAsia="宋体" w:hAnsi="宋体"/>
          <w:color w:val="000000" w:themeColor="text1"/>
          <w:sz w:val="24"/>
          <w:szCs w:val="24"/>
        </w:rPr>
        <w:t>Gpts</w:t>
      </w:r>
      <w:proofErr w:type="spellEnd"/>
      <w:r w:rsidRPr="001162AA">
        <w:rPr>
          <w:rFonts w:ascii="宋体" w:eastAsia="宋体" w:hAnsi="宋体"/>
          <w:color w:val="000000" w:themeColor="text1"/>
          <w:sz w:val="24"/>
          <w:szCs w:val="24"/>
        </w:rPr>
        <w:t>/</w:t>
      </w:r>
      <w:r w:rsidRPr="001162AA">
        <w:rPr>
          <w:rFonts w:ascii="宋体" w:eastAsia="宋体" w:hAnsi="宋体" w:hint="eastAsia"/>
          <w:color w:val="000000" w:themeColor="text1"/>
          <w:sz w:val="24"/>
          <w:szCs w:val="24"/>
        </w:rPr>
        <w:t>通道。</w:t>
      </w:r>
      <w:r w:rsidRPr="001162AA">
        <w:rPr>
          <w:rFonts w:ascii="宋体" w:eastAsia="宋体" w:hAnsi="宋体"/>
          <w:color w:val="000000" w:themeColor="text1"/>
          <w:sz w:val="24"/>
          <w:szCs w:val="24"/>
        </w:rPr>
        <w:t xml:space="preserve"> </w:t>
      </w:r>
    </w:p>
    <w:p w:rsidR="001162AA" w:rsidRDefault="001162AA" w:rsidP="001162AA">
      <w:pPr>
        <w:spacing w:line="360" w:lineRule="auto"/>
        <w:jc w:val="center"/>
        <w:rPr>
          <w:rFonts w:ascii="宋体" w:eastAsia="宋体" w:hAnsi="宋体" w:hint="eastAsia"/>
          <w:color w:val="000000" w:themeColor="text1"/>
          <w:sz w:val="24"/>
          <w:szCs w:val="24"/>
        </w:rPr>
      </w:pPr>
      <w:r>
        <w:rPr>
          <w:noProof/>
        </w:rPr>
        <w:drawing>
          <wp:inline distT="0" distB="0" distL="0" distR="0">
            <wp:extent cx="4656667" cy="2619375"/>
            <wp:effectExtent l="0" t="0" r="0" b="0"/>
            <wp:docPr id="3" name="图片 3" descr="https://www.861718.com/storage/uploads/20251226/a40c7ba83788458b8af6f9d1b8fc2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storage/uploads/20251226/a40c7ba83788458b8af6f9d1b8fc2dc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779" cy="2623376"/>
                    </a:xfrm>
                    <a:prstGeom prst="rect">
                      <a:avLst/>
                    </a:prstGeom>
                    <a:noFill/>
                    <a:ln>
                      <a:noFill/>
                    </a:ln>
                  </pic:spPr>
                </pic:pic>
              </a:graphicData>
            </a:graphic>
          </wp:inline>
        </w:drawing>
      </w:r>
    </w:p>
    <w:p w:rsidR="001162AA" w:rsidRPr="001162AA" w:rsidRDefault="001162AA" w:rsidP="001162AA">
      <w:pPr>
        <w:spacing w:line="360" w:lineRule="auto"/>
        <w:jc w:val="center"/>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w:t>
      </w:r>
      <w:proofErr w:type="gramStart"/>
      <w:r w:rsidRPr="001162AA">
        <w:rPr>
          <w:rFonts w:ascii="宋体" w:eastAsia="宋体" w:hAnsi="宋体" w:hint="eastAsia"/>
          <w:color w:val="000000" w:themeColor="text1"/>
          <w:sz w:val="24"/>
          <w:szCs w:val="24"/>
        </w:rPr>
        <w:t>鼎阳科技</w:t>
      </w:r>
      <w:proofErr w:type="gramEnd"/>
      <w:r w:rsidRPr="001162AA">
        <w:rPr>
          <w:rFonts w:ascii="宋体" w:eastAsia="宋体" w:hAnsi="宋体" w:hint="eastAsia"/>
          <w:color w:val="000000" w:themeColor="text1"/>
          <w:sz w:val="24"/>
          <w:szCs w:val="24"/>
        </w:rPr>
        <w:t xml:space="preserve"> SDS8204A  20 GHz高带宽数字示波器 ）</w:t>
      </w:r>
    </w:p>
    <w:p w:rsidR="001162AA" w:rsidRPr="001162AA" w:rsidRDefault="001162AA" w:rsidP="001162AA">
      <w:pPr>
        <w:spacing w:line="360" w:lineRule="auto"/>
        <w:ind w:firstLineChars="200" w:firstLine="480"/>
        <w:rPr>
          <w:rFonts w:ascii="宋体" w:eastAsia="宋体" w:hAnsi="宋体"/>
          <w:color w:val="000000" w:themeColor="text1"/>
          <w:sz w:val="24"/>
          <w:szCs w:val="24"/>
        </w:rPr>
      </w:pPr>
      <w:r w:rsidRPr="001162AA">
        <w:rPr>
          <w:rFonts w:ascii="宋体" w:eastAsia="宋体" w:hAnsi="宋体"/>
          <w:color w:val="000000" w:themeColor="text1"/>
          <w:sz w:val="24"/>
          <w:szCs w:val="24"/>
        </w:rPr>
        <w:t>12</w:t>
      </w:r>
      <w:r w:rsidRPr="001162AA">
        <w:rPr>
          <w:rFonts w:ascii="宋体" w:eastAsia="宋体" w:hAnsi="宋体" w:hint="eastAsia"/>
          <w:color w:val="000000" w:themeColor="text1"/>
          <w:sz w:val="24"/>
          <w:szCs w:val="24"/>
        </w:rPr>
        <w:t>月</w:t>
      </w:r>
      <w:r w:rsidRPr="001162AA">
        <w:rPr>
          <w:rFonts w:ascii="宋体" w:eastAsia="宋体" w:hAnsi="宋体"/>
          <w:color w:val="000000" w:themeColor="text1"/>
          <w:sz w:val="24"/>
          <w:szCs w:val="24"/>
        </w:rPr>
        <w:t>22</w:t>
      </w:r>
      <w:r w:rsidRPr="001162AA">
        <w:rPr>
          <w:rFonts w:ascii="宋体" w:eastAsia="宋体" w:hAnsi="宋体" w:hint="eastAsia"/>
          <w:color w:val="000000" w:themeColor="text1"/>
          <w:sz w:val="24"/>
          <w:szCs w:val="24"/>
        </w:rPr>
        <w:t>日，</w:t>
      </w:r>
      <w:proofErr w:type="gramStart"/>
      <w:r w:rsidRPr="001162AA">
        <w:rPr>
          <w:rFonts w:ascii="宋体" w:eastAsia="宋体" w:hAnsi="宋体" w:hint="eastAsia"/>
          <w:color w:val="000000" w:themeColor="text1"/>
          <w:sz w:val="24"/>
          <w:szCs w:val="24"/>
        </w:rPr>
        <w:t>鼎阳科技</w:t>
      </w:r>
      <w:proofErr w:type="gramEnd"/>
      <w:r w:rsidRPr="001162AA">
        <w:rPr>
          <w:rFonts w:ascii="宋体" w:eastAsia="宋体" w:hAnsi="宋体" w:hint="eastAsia"/>
          <w:color w:val="000000" w:themeColor="text1"/>
          <w:sz w:val="24"/>
          <w:szCs w:val="24"/>
        </w:rPr>
        <w:t>再一次突破示波器带宽瓶颈，发布</w:t>
      </w:r>
      <w:r w:rsidRPr="001162AA">
        <w:rPr>
          <w:rFonts w:ascii="宋体" w:eastAsia="宋体" w:hAnsi="宋体"/>
          <w:color w:val="000000" w:themeColor="text1"/>
          <w:sz w:val="24"/>
          <w:szCs w:val="24"/>
        </w:rPr>
        <w:t>SDS8204A</w:t>
      </w:r>
      <w:r w:rsidRPr="001162AA">
        <w:rPr>
          <w:rFonts w:ascii="宋体" w:eastAsia="宋体" w:hAnsi="宋体" w:hint="eastAsia"/>
          <w:color w:val="000000" w:themeColor="text1"/>
          <w:sz w:val="24"/>
          <w:szCs w:val="24"/>
        </w:rPr>
        <w:t>高带宽数字示波器，在</w:t>
      </w:r>
      <w:r w:rsidRPr="001162AA">
        <w:rPr>
          <w:rFonts w:ascii="宋体" w:eastAsia="宋体" w:hAnsi="宋体"/>
          <w:color w:val="000000" w:themeColor="text1"/>
          <w:sz w:val="24"/>
          <w:szCs w:val="24"/>
        </w:rPr>
        <w:t>SDS8000A</w:t>
      </w:r>
      <w:r w:rsidRPr="001162AA">
        <w:rPr>
          <w:rFonts w:ascii="宋体" w:eastAsia="宋体" w:hAnsi="宋体" w:hint="eastAsia"/>
          <w:color w:val="000000" w:themeColor="text1"/>
          <w:sz w:val="24"/>
          <w:szCs w:val="24"/>
        </w:rPr>
        <w:t>系列原有</w:t>
      </w:r>
      <w:r w:rsidRPr="001162AA">
        <w:rPr>
          <w:rFonts w:ascii="宋体" w:eastAsia="宋体" w:hAnsi="宋体"/>
          <w:color w:val="000000" w:themeColor="text1"/>
          <w:sz w:val="24"/>
          <w:szCs w:val="24"/>
        </w:rPr>
        <w:t>16 GHz</w:t>
      </w:r>
      <w:r w:rsidRPr="001162AA">
        <w:rPr>
          <w:rFonts w:ascii="宋体" w:eastAsia="宋体" w:hAnsi="宋体" w:hint="eastAsia"/>
          <w:color w:val="000000" w:themeColor="text1"/>
          <w:sz w:val="24"/>
          <w:szCs w:val="24"/>
        </w:rPr>
        <w:t>，</w:t>
      </w:r>
      <w:r w:rsidRPr="001162AA">
        <w:rPr>
          <w:rFonts w:ascii="宋体" w:eastAsia="宋体" w:hAnsi="宋体"/>
          <w:color w:val="000000" w:themeColor="text1"/>
          <w:sz w:val="24"/>
          <w:szCs w:val="24"/>
        </w:rPr>
        <w:t>12 bit</w:t>
      </w:r>
      <w:r w:rsidRPr="001162AA">
        <w:rPr>
          <w:rFonts w:ascii="宋体" w:eastAsia="宋体" w:hAnsi="宋体" w:hint="eastAsia"/>
          <w:color w:val="000000" w:themeColor="text1"/>
          <w:sz w:val="24"/>
          <w:szCs w:val="24"/>
        </w:rPr>
        <w:t>高分辨率型号基础上，新增</w:t>
      </w:r>
      <w:r w:rsidRPr="001162AA">
        <w:rPr>
          <w:rFonts w:ascii="宋体" w:eastAsia="宋体" w:hAnsi="宋体"/>
          <w:color w:val="000000" w:themeColor="text1"/>
          <w:sz w:val="24"/>
          <w:szCs w:val="24"/>
        </w:rPr>
        <w:t>20 GHz</w:t>
      </w:r>
      <w:r w:rsidRPr="001162AA">
        <w:rPr>
          <w:rFonts w:ascii="宋体" w:eastAsia="宋体" w:hAnsi="宋体" w:hint="eastAsia"/>
          <w:color w:val="000000" w:themeColor="text1"/>
          <w:sz w:val="24"/>
          <w:szCs w:val="24"/>
        </w:rPr>
        <w:t>，</w:t>
      </w:r>
      <w:r w:rsidRPr="001162AA">
        <w:rPr>
          <w:rFonts w:ascii="宋体" w:eastAsia="宋体" w:hAnsi="宋体"/>
          <w:color w:val="000000" w:themeColor="text1"/>
          <w:sz w:val="24"/>
          <w:szCs w:val="24"/>
        </w:rPr>
        <w:t>8 bit</w:t>
      </w:r>
      <w:r w:rsidRPr="001162AA">
        <w:rPr>
          <w:rFonts w:ascii="宋体" w:eastAsia="宋体" w:hAnsi="宋体" w:hint="eastAsia"/>
          <w:color w:val="000000" w:themeColor="text1"/>
          <w:sz w:val="24"/>
          <w:szCs w:val="24"/>
        </w:rPr>
        <w:t>高带宽型号，进一步完善了</w:t>
      </w:r>
      <w:r w:rsidRPr="001162AA">
        <w:rPr>
          <w:rFonts w:ascii="宋体" w:eastAsia="宋体" w:hAnsi="宋体"/>
          <w:color w:val="000000" w:themeColor="text1"/>
          <w:sz w:val="24"/>
          <w:szCs w:val="24"/>
        </w:rPr>
        <w:t>SDS8000A</w:t>
      </w:r>
      <w:r w:rsidRPr="001162AA">
        <w:rPr>
          <w:rFonts w:ascii="宋体" w:eastAsia="宋体" w:hAnsi="宋体" w:hint="eastAsia"/>
          <w:color w:val="000000" w:themeColor="text1"/>
          <w:sz w:val="24"/>
          <w:szCs w:val="24"/>
        </w:rPr>
        <w:t>系列的产品布局。</w:t>
      </w:r>
      <w:r w:rsidRPr="001162AA">
        <w:rPr>
          <w:rFonts w:ascii="宋体" w:eastAsia="宋体" w:hAnsi="宋体"/>
          <w:color w:val="000000" w:themeColor="text1"/>
          <w:sz w:val="24"/>
          <w:szCs w:val="24"/>
        </w:rPr>
        <w:t>SDS8204A</w:t>
      </w:r>
      <w:r w:rsidRPr="001162AA">
        <w:rPr>
          <w:rFonts w:ascii="宋体" w:eastAsia="宋体" w:hAnsi="宋体" w:hint="eastAsia"/>
          <w:color w:val="000000" w:themeColor="text1"/>
          <w:sz w:val="24"/>
          <w:szCs w:val="24"/>
        </w:rPr>
        <w:t>模拟带宽可达</w:t>
      </w:r>
      <w:r w:rsidRPr="001162AA">
        <w:rPr>
          <w:rFonts w:ascii="宋体" w:eastAsia="宋体" w:hAnsi="宋体"/>
          <w:color w:val="000000" w:themeColor="text1"/>
          <w:sz w:val="24"/>
          <w:szCs w:val="24"/>
        </w:rPr>
        <w:t>20</w:t>
      </w:r>
      <w:r w:rsidRPr="001162AA">
        <w:rPr>
          <w:rFonts w:ascii="Times New Roman" w:eastAsia="宋体" w:hAnsi="Times New Roman" w:cs="Times New Roman"/>
          <w:color w:val="000000" w:themeColor="text1"/>
          <w:sz w:val="24"/>
          <w:szCs w:val="24"/>
        </w:rPr>
        <w:t> </w:t>
      </w:r>
      <w:r w:rsidRPr="001162AA">
        <w:rPr>
          <w:rFonts w:ascii="宋体" w:eastAsia="宋体" w:hAnsi="宋体"/>
          <w:color w:val="000000" w:themeColor="text1"/>
          <w:sz w:val="24"/>
          <w:szCs w:val="24"/>
        </w:rPr>
        <w:t>GHz</w:t>
      </w:r>
      <w:r w:rsidRPr="001162AA">
        <w:rPr>
          <w:rFonts w:ascii="宋体" w:eastAsia="宋体" w:hAnsi="宋体" w:hint="eastAsia"/>
          <w:color w:val="000000" w:themeColor="text1"/>
          <w:sz w:val="24"/>
          <w:szCs w:val="24"/>
        </w:rPr>
        <w:t>，每通道实时采样率高达</w:t>
      </w:r>
      <w:r w:rsidRPr="001162AA">
        <w:rPr>
          <w:rFonts w:ascii="宋体" w:eastAsia="宋体" w:hAnsi="宋体"/>
          <w:color w:val="000000" w:themeColor="text1"/>
          <w:sz w:val="24"/>
          <w:szCs w:val="24"/>
        </w:rPr>
        <w:t>50</w:t>
      </w:r>
      <w:r w:rsidRPr="001162AA">
        <w:rPr>
          <w:rFonts w:ascii="Times New Roman" w:eastAsia="宋体" w:hAnsi="Times New Roman" w:cs="Times New Roman"/>
          <w:color w:val="000000" w:themeColor="text1"/>
          <w:sz w:val="24"/>
          <w:szCs w:val="24"/>
        </w:rPr>
        <w:t> </w:t>
      </w:r>
      <w:proofErr w:type="spellStart"/>
      <w:r w:rsidRPr="001162AA">
        <w:rPr>
          <w:rFonts w:ascii="宋体" w:eastAsia="宋体" w:hAnsi="宋体"/>
          <w:color w:val="000000" w:themeColor="text1"/>
          <w:sz w:val="24"/>
          <w:szCs w:val="24"/>
        </w:rPr>
        <w:t>GSa</w:t>
      </w:r>
      <w:proofErr w:type="spellEnd"/>
      <w:r w:rsidRPr="001162AA">
        <w:rPr>
          <w:rFonts w:ascii="宋体" w:eastAsia="宋体" w:hAnsi="宋体"/>
          <w:color w:val="000000" w:themeColor="text1"/>
          <w:sz w:val="24"/>
          <w:szCs w:val="24"/>
        </w:rPr>
        <w:t>/s</w:t>
      </w:r>
      <w:r w:rsidRPr="001162AA">
        <w:rPr>
          <w:rFonts w:ascii="宋体" w:eastAsia="宋体" w:hAnsi="宋体" w:hint="eastAsia"/>
          <w:color w:val="000000" w:themeColor="text1"/>
          <w:sz w:val="24"/>
          <w:szCs w:val="24"/>
        </w:rPr>
        <w:t>，存储深度最大</w:t>
      </w:r>
      <w:r w:rsidRPr="001162AA">
        <w:rPr>
          <w:rFonts w:ascii="宋体" w:eastAsia="宋体" w:hAnsi="宋体"/>
          <w:color w:val="000000" w:themeColor="text1"/>
          <w:sz w:val="24"/>
          <w:szCs w:val="24"/>
        </w:rPr>
        <w:t xml:space="preserve">2.5 </w:t>
      </w:r>
      <w:proofErr w:type="spellStart"/>
      <w:r w:rsidRPr="001162AA">
        <w:rPr>
          <w:rFonts w:ascii="宋体" w:eastAsia="宋体" w:hAnsi="宋体"/>
          <w:color w:val="000000" w:themeColor="text1"/>
          <w:sz w:val="24"/>
          <w:szCs w:val="24"/>
        </w:rPr>
        <w:t>Gpts</w:t>
      </w:r>
      <w:proofErr w:type="spellEnd"/>
      <w:r w:rsidRPr="001162AA">
        <w:rPr>
          <w:rFonts w:ascii="宋体" w:eastAsia="宋体" w:hAnsi="宋体"/>
          <w:color w:val="000000" w:themeColor="text1"/>
          <w:sz w:val="24"/>
          <w:szCs w:val="24"/>
        </w:rPr>
        <w:t>/</w:t>
      </w:r>
      <w:r w:rsidRPr="001162AA">
        <w:rPr>
          <w:rFonts w:ascii="宋体" w:eastAsia="宋体" w:hAnsi="宋体" w:hint="eastAsia"/>
          <w:color w:val="000000" w:themeColor="text1"/>
          <w:sz w:val="24"/>
          <w:szCs w:val="24"/>
        </w:rPr>
        <w:t>通道，最高</w:t>
      </w:r>
      <w:r w:rsidRPr="001162AA">
        <w:rPr>
          <w:rFonts w:ascii="宋体" w:eastAsia="宋体" w:hAnsi="宋体"/>
          <w:color w:val="000000" w:themeColor="text1"/>
          <w:sz w:val="24"/>
          <w:szCs w:val="24"/>
        </w:rPr>
        <w:t xml:space="preserve">500,000 </w:t>
      </w:r>
      <w:proofErr w:type="spellStart"/>
      <w:r w:rsidRPr="001162AA">
        <w:rPr>
          <w:rFonts w:ascii="宋体" w:eastAsia="宋体" w:hAnsi="宋体"/>
          <w:color w:val="000000" w:themeColor="text1"/>
          <w:sz w:val="24"/>
          <w:szCs w:val="24"/>
        </w:rPr>
        <w:t>wfm</w:t>
      </w:r>
      <w:proofErr w:type="spellEnd"/>
      <w:r w:rsidRPr="001162AA">
        <w:rPr>
          <w:rFonts w:ascii="宋体" w:eastAsia="宋体" w:hAnsi="宋体"/>
          <w:color w:val="000000" w:themeColor="text1"/>
          <w:sz w:val="24"/>
          <w:szCs w:val="24"/>
        </w:rPr>
        <w:t>/s</w:t>
      </w:r>
      <w:r w:rsidRPr="001162AA">
        <w:rPr>
          <w:rFonts w:ascii="宋体" w:eastAsia="宋体" w:hAnsi="宋体" w:hint="eastAsia"/>
          <w:color w:val="000000" w:themeColor="text1"/>
          <w:sz w:val="24"/>
          <w:szCs w:val="24"/>
        </w:rPr>
        <w:t>波形捕获率，</w:t>
      </w:r>
      <w:r w:rsidRPr="001162AA">
        <w:rPr>
          <w:rFonts w:ascii="宋体" w:eastAsia="宋体" w:hAnsi="宋体"/>
          <w:color w:val="000000" w:themeColor="text1"/>
          <w:sz w:val="24"/>
          <w:szCs w:val="24"/>
        </w:rPr>
        <w:t xml:space="preserve">270 </w:t>
      </w:r>
      <w:proofErr w:type="spellStart"/>
      <w:r w:rsidRPr="001162AA">
        <w:rPr>
          <w:rFonts w:ascii="宋体" w:eastAsia="宋体" w:hAnsi="宋体"/>
          <w:color w:val="000000" w:themeColor="text1"/>
          <w:sz w:val="24"/>
          <w:szCs w:val="24"/>
        </w:rPr>
        <w:t>μVrms</w:t>
      </w:r>
      <w:proofErr w:type="spellEnd"/>
      <w:r w:rsidRPr="001162AA">
        <w:rPr>
          <w:rFonts w:ascii="宋体" w:eastAsia="宋体" w:hAnsi="宋体" w:hint="eastAsia"/>
          <w:color w:val="000000" w:themeColor="text1"/>
          <w:sz w:val="24"/>
          <w:szCs w:val="24"/>
        </w:rPr>
        <w:t>超低本底噪声。</w:t>
      </w:r>
      <w:r w:rsidRPr="001162AA">
        <w:rPr>
          <w:rFonts w:ascii="宋体" w:eastAsia="宋体" w:hAnsi="宋体"/>
          <w:color w:val="000000" w:themeColor="text1"/>
          <w:sz w:val="24"/>
          <w:szCs w:val="24"/>
        </w:rPr>
        <w:t xml:space="preserve"> </w:t>
      </w:r>
    </w:p>
    <w:p w:rsidR="001162AA" w:rsidRDefault="001162AA" w:rsidP="001162AA">
      <w:pPr>
        <w:spacing w:line="360" w:lineRule="auto"/>
        <w:jc w:val="center"/>
        <w:rPr>
          <w:rFonts w:ascii="宋体" w:eastAsia="宋体" w:hAnsi="宋体" w:hint="eastAsia"/>
          <w:color w:val="000000" w:themeColor="text1"/>
          <w:sz w:val="24"/>
          <w:szCs w:val="24"/>
        </w:rPr>
      </w:pPr>
      <w:r>
        <w:rPr>
          <w:noProof/>
        </w:rPr>
        <w:drawing>
          <wp:inline distT="0" distB="0" distL="0" distR="0">
            <wp:extent cx="4647349" cy="2924175"/>
            <wp:effectExtent l="0" t="0" r="1270" b="0"/>
            <wp:docPr id="4" name="图片 4" descr="https://www.861718.com/storage/uploads/20251226/72e59750b449cb0addd2028a209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861718.com/storage/uploads/20251226/72e59750b449cb0addd2028a209014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449" cy="2935564"/>
                    </a:xfrm>
                    <a:prstGeom prst="rect">
                      <a:avLst/>
                    </a:prstGeom>
                    <a:noFill/>
                    <a:ln>
                      <a:noFill/>
                    </a:ln>
                  </pic:spPr>
                </pic:pic>
              </a:graphicData>
            </a:graphic>
          </wp:inline>
        </w:drawing>
      </w:r>
    </w:p>
    <w:p w:rsidR="001162AA" w:rsidRPr="001162AA" w:rsidRDefault="001162AA" w:rsidP="001162AA">
      <w:pPr>
        <w:spacing w:line="360" w:lineRule="auto"/>
        <w:jc w:val="center"/>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（优利德 UPO70000系列数字荧光示波器）</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12月9日，在2025年优利德测试仪器新品发布会上，优利德宣布“示波器通过自</w:t>
      </w:r>
      <w:proofErr w:type="gramStart"/>
      <w:r w:rsidRPr="001162AA">
        <w:rPr>
          <w:rFonts w:ascii="宋体" w:eastAsia="宋体" w:hAnsi="宋体" w:hint="eastAsia"/>
          <w:color w:val="000000" w:themeColor="text1"/>
          <w:sz w:val="24"/>
          <w:szCs w:val="24"/>
        </w:rPr>
        <w:t>研</w:t>
      </w:r>
      <w:proofErr w:type="gramEnd"/>
      <w:r w:rsidRPr="001162AA">
        <w:rPr>
          <w:rFonts w:ascii="宋体" w:eastAsia="宋体" w:hAnsi="宋体" w:hint="eastAsia"/>
          <w:color w:val="000000" w:themeColor="text1"/>
          <w:sz w:val="24"/>
          <w:szCs w:val="24"/>
        </w:rPr>
        <w:t xml:space="preserve">芯片与系统架构协同，将带宽推升至13GHz”。优利德表示，UPO70000系列数字荧光示波器凭借13GHz的带宽性能，精准瞄准高速数字与通信研发的前沿测试需求。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此外，正准备上市的联讯仪器也雄心勃勃的宣布，研发70GHz实时示波器。在回复上交所问询中，联讯仪器披露了未来规划研发，计划“在现有采样示波器基础上，新设备将针对高速实时信号测试需求，把通道带宽和采样速率分别提升至70GHz、200GSa/s，性能对标国际顶尖水平。” </w:t>
      </w:r>
    </w:p>
    <w:p w:rsidR="001162AA" w:rsidRDefault="001162AA" w:rsidP="001162AA">
      <w:pPr>
        <w:spacing w:line="360" w:lineRule="auto"/>
        <w:jc w:val="center"/>
        <w:rPr>
          <w:rFonts w:ascii="宋体" w:eastAsia="宋体" w:hAnsi="宋体" w:hint="eastAsia"/>
          <w:color w:val="000000" w:themeColor="text1"/>
          <w:sz w:val="24"/>
          <w:szCs w:val="24"/>
        </w:rPr>
      </w:pPr>
      <w:r>
        <w:rPr>
          <w:noProof/>
        </w:rPr>
        <w:drawing>
          <wp:inline distT="0" distB="0" distL="0" distR="0">
            <wp:extent cx="5086350" cy="2288858"/>
            <wp:effectExtent l="0" t="0" r="0" b="0"/>
            <wp:docPr id="5" name="图片 5" descr="https://www.861718.com/storage/uploads/20251226/4fd95244c3d95ac1ceacb860f5b8d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861718.com/storage/uploads/20251226/4fd95244c3d95ac1ceacb860f5b8d74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028" cy="2290513"/>
                    </a:xfrm>
                    <a:prstGeom prst="rect">
                      <a:avLst/>
                    </a:prstGeom>
                    <a:noFill/>
                    <a:ln>
                      <a:noFill/>
                    </a:ln>
                  </pic:spPr>
                </pic:pic>
              </a:graphicData>
            </a:graphic>
          </wp:inline>
        </w:drawing>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截止2025年12月26日，上图表格是目前国内国外测试测量仪器厂商推出的最高带宽实时示波器的大致情况。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示波器市场需求强劲，5G通信、半导体、新能源、消费电子等行业的快速发展是主要拉动力。这些领域的产品研发、生产测试都离不开示波器。随着下游技术复杂度提升，市场对高带宽、高采样率、多功能集成（如混合信号示波器MSO、混合域示波器MDO）的高端示波器需求增加。 </w:t>
      </w:r>
    </w:p>
    <w:p w:rsidR="001162AA" w:rsidRPr="001162AA" w:rsidRDefault="001162AA" w:rsidP="001162AA">
      <w:pPr>
        <w:spacing w:line="360" w:lineRule="auto"/>
        <w:ind w:firstLineChars="200" w:firstLine="480"/>
        <w:rPr>
          <w:rFonts w:ascii="宋体" w:eastAsia="宋体" w:hAnsi="宋体" w:hint="eastAsia"/>
          <w:color w:val="000000" w:themeColor="text1"/>
          <w:sz w:val="24"/>
          <w:szCs w:val="24"/>
        </w:rPr>
      </w:pPr>
      <w:r w:rsidRPr="001162AA">
        <w:rPr>
          <w:rFonts w:ascii="宋体" w:eastAsia="宋体" w:hAnsi="宋体" w:hint="eastAsia"/>
          <w:color w:val="000000" w:themeColor="text1"/>
          <w:sz w:val="24"/>
          <w:szCs w:val="24"/>
        </w:rPr>
        <w:t xml:space="preserve">据华经产业研究院统计，从电子测量仪器细分市场来看，国内示波器市场规模近年来稳中有升，2020年约为4.4亿美元，同比增长7.32%，预计2025年市场规模将提升至6.5亿美元（约合人民币47亿元）。 </w:t>
      </w:r>
    </w:p>
    <w:p w:rsidR="00D02623" w:rsidRPr="001162AA" w:rsidRDefault="001162AA" w:rsidP="001162AA">
      <w:pPr>
        <w:spacing w:line="360" w:lineRule="auto"/>
        <w:ind w:firstLineChars="200" w:firstLine="480"/>
        <w:rPr>
          <w:rFonts w:ascii="宋体" w:eastAsia="宋体" w:hAnsi="宋体"/>
          <w:color w:val="000000" w:themeColor="text1"/>
          <w:sz w:val="24"/>
          <w:szCs w:val="24"/>
        </w:rPr>
      </w:pPr>
      <w:r w:rsidRPr="001162AA">
        <w:rPr>
          <w:rFonts w:ascii="宋体" w:eastAsia="宋体" w:hAnsi="宋体" w:hint="eastAsia"/>
          <w:color w:val="000000" w:themeColor="text1"/>
          <w:sz w:val="24"/>
          <w:szCs w:val="24"/>
        </w:rPr>
        <w:t>随着电子工业的持续高速发展，信息技术产品的智能化、网络化以及集成化程度逐步提高，以及半导体、5G、人工智能、新能源、航天航空等行业驱动，数字示波器市场需求有所攀升。示波器市场需求旺盛，给测试测量仪器厂商带来了更多发展机遇。</w:t>
      </w:r>
    </w:p>
    <w:sectPr w:rsidR="00D02623" w:rsidRPr="001162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E96"/>
    <w:rsid w:val="000763EE"/>
    <w:rsid w:val="001162AA"/>
    <w:rsid w:val="001E2470"/>
    <w:rsid w:val="00255EF1"/>
    <w:rsid w:val="0031467B"/>
    <w:rsid w:val="003C2455"/>
    <w:rsid w:val="00484D36"/>
    <w:rsid w:val="00692EAA"/>
    <w:rsid w:val="00703FE1"/>
    <w:rsid w:val="00804B5B"/>
    <w:rsid w:val="008E5C5E"/>
    <w:rsid w:val="009066AF"/>
    <w:rsid w:val="00AD21A1"/>
    <w:rsid w:val="00D02623"/>
    <w:rsid w:val="00E02350"/>
    <w:rsid w:val="00EB4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162AA"/>
    <w:rPr>
      <w:sz w:val="18"/>
      <w:szCs w:val="18"/>
    </w:rPr>
  </w:style>
  <w:style w:type="character" w:customStyle="1" w:styleId="Char">
    <w:name w:val="批注框文本 Char"/>
    <w:basedOn w:val="a0"/>
    <w:link w:val="a3"/>
    <w:uiPriority w:val="99"/>
    <w:semiHidden/>
    <w:rsid w:val="001162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162AA"/>
    <w:rPr>
      <w:sz w:val="18"/>
      <w:szCs w:val="18"/>
    </w:rPr>
  </w:style>
  <w:style w:type="character" w:customStyle="1" w:styleId="Char">
    <w:name w:val="批注框文本 Char"/>
    <w:basedOn w:val="a0"/>
    <w:link w:val="a3"/>
    <w:uiPriority w:val="99"/>
    <w:semiHidden/>
    <w:rsid w:val="001162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426</Words>
  <Characters>2429</Characters>
  <Application>Microsoft Office Word</Application>
  <DocSecurity>0</DocSecurity>
  <Lines>20</Lines>
  <Paragraphs>5</Paragraphs>
  <ScaleCrop>false</ScaleCrop>
  <Company>Organization</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2025-12-31T03:38:00Z</dcterms:created>
  <dcterms:modified xsi:type="dcterms:W3CDTF">2025-12-31T03:47:00Z</dcterms:modified>
</cp:coreProperties>
</file>