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pStyle w:val="2"/>
        <w:spacing w:line="360" w:lineRule="auto"/>
        <w:jc w:val="center"/>
        <w:rPr>
          <w:sz w:val="28"/>
          <w:szCs w:val="28"/>
        </w:rPr>
      </w:pPr>
      <w:r>
        <w:rPr>
          <w:sz w:val="28"/>
          <w:szCs w:val="28"/>
        </w:rPr>
        <w:t>普源精电的“新身份证”：不是示波器公司，是解决方案公司</w:t>
      </w:r>
    </w:p>
    <w:p>
      <w:pPr>
        <w:pStyle w:val="2"/>
        <w:spacing w:line="360" w:lineRule="auto"/>
        <w:jc w:val="center"/>
        <w:rPr>
          <w:b w:val="0"/>
          <w:bCs w:val="0"/>
          <w:sz w:val="24"/>
          <w:szCs w:val="24"/>
        </w:rPr>
      </w:pPr>
      <w:r>
        <w:rPr>
          <w:b w:val="0"/>
          <w:bCs w:val="0"/>
          <w:sz w:val="24"/>
          <w:szCs w:val="24"/>
        </w:rPr>
        <w:t>来源：</w:t>
      </w:r>
      <w:r>
        <w:rPr>
          <w:b w:val="0"/>
          <w:bCs w:val="0"/>
          <w:color w:val="000000"/>
          <w:sz w:val="24"/>
          <w:szCs w:val="24"/>
        </w:rPr>
        <w:t xml:space="preserve">测海听涛 </w:t>
      </w:r>
    </w:p>
    <w:p>
      <w:pPr>
        <w:pStyle w:val="2"/>
        <w:spacing w:line="360" w:lineRule="auto"/>
        <w:ind w:left="440"/>
        <w:rPr>
          <w:sz w:val="24"/>
          <w:szCs w:val="24"/>
        </w:rPr>
      </w:pPr>
      <w:r>
        <w:rPr>
          <w:color w:val="333333"/>
          <w:sz w:val="24"/>
          <w:szCs w:val="24"/>
        </w:rPr>
        <w:t>导语</w:t>
      </w:r>
    </w:p>
    <w:p>
      <w:pPr>
        <w:pStyle w:val="2"/>
        <w:spacing w:after="0" w:line="360" w:lineRule="auto"/>
        <w:ind w:left="440"/>
        <w:rPr>
          <w:b w:val="0"/>
          <w:bCs w:val="0"/>
          <w:sz w:val="24"/>
          <w:szCs w:val="24"/>
        </w:rPr>
      </w:pPr>
      <w:r>
        <w:rPr>
          <w:b w:val="0"/>
          <w:bCs w:val="0"/>
          <w:color w:val="333333"/>
          <w:sz w:val="24"/>
          <w:szCs w:val="24"/>
        </w:rPr>
        <w:t>一场深度重构，正在财报里悄然发生。</w:t>
      </w:r>
    </w:p>
    <w:p>
      <w:pPr>
        <w:pStyle w:val="2"/>
        <w:spacing w:after="0" w:line="360" w:lineRule="auto"/>
        <w:rPr>
          <w:b w:val="0"/>
          <w:bCs w:val="0"/>
          <w:color w:val="333333"/>
          <w:sz w:val="24"/>
          <w:szCs w:val="24"/>
        </w:rPr>
      </w:pPr>
      <w:r>
        <w:rPr>
          <w:b w:val="0"/>
          <w:bCs w:val="0"/>
          <w:color w:val="333333"/>
          <w:sz w:val="24"/>
          <w:szCs w:val="24"/>
        </w:rPr>
        <w:t>如果你对普源精电的印象还停留在“中国最大的数字示波器供应商”、“打破高端垄断”这些标签上，那么最近的两份财报，应该会让你重新认识这家公司。</w:t>
      </w:r>
    </w:p>
    <w:p>
      <w:pPr>
        <w:pStyle w:val="2"/>
        <w:spacing w:after="0" w:line="360" w:lineRule="auto"/>
        <w:rPr>
          <w:b w:val="0"/>
          <w:bCs w:val="0"/>
          <w:sz w:val="24"/>
          <w:szCs w:val="24"/>
        </w:rPr>
      </w:pPr>
      <w:r>
        <w:rPr>
          <w:b w:val="0"/>
          <w:bCs w:val="0"/>
          <w:color w:val="333333"/>
          <w:sz w:val="24"/>
          <w:szCs w:val="24"/>
        </w:rPr>
        <w:t>解决方案业务，正在把普源精电推向一条完全不同的赛道。从“卖仪器”到“卖方案”，从“挣硬件的钱”到“挣系统和交付的钱”，从“跟国产同行卷性能参数”到“跟外企巨头抢产线预算”。</w:t>
      </w:r>
    </w:p>
    <w:p>
      <w:pPr>
        <w:pStyle w:val="2"/>
        <w:spacing w:after="0" w:line="360" w:lineRule="auto"/>
        <w:rPr>
          <w:b w:val="0"/>
          <w:bCs w:val="0"/>
          <w:sz w:val="24"/>
          <w:szCs w:val="24"/>
        </w:rPr>
      </w:pPr>
      <w:r>
        <w:rPr>
          <w:b w:val="0"/>
          <w:bCs w:val="0"/>
          <w:color w:val="333333"/>
          <w:sz w:val="24"/>
          <w:szCs w:val="24"/>
        </w:rPr>
        <w:t>这不是一个简单的业务增长，这是一次公司身份的重置。</w:t>
      </w:r>
    </w:p>
    <w:p>
      <w:pPr>
        <w:pStyle w:val="2"/>
        <w:spacing w:after="0" w:line="360" w:lineRule="auto"/>
        <w:rPr>
          <w:b w:val="0"/>
          <w:bCs w:val="0"/>
          <w:sz w:val="24"/>
          <w:szCs w:val="24"/>
        </w:rPr>
      </w:pPr>
      <w:r>
        <w:rPr>
          <w:b w:val="0"/>
          <w:bCs w:val="0"/>
          <w:sz w:val="24"/>
          <w:szCs w:val="24"/>
        </w:rPr>
        <w:drawing>
          <wp:inline distT="0" distB="0" distL="0" distR="0">
            <wp:extent cx="5236210" cy="1401171"/>
            <wp:effectExtent l="0" t="0" r="16" b="30"/>
            <wp:docPr id="1" name="图片 1" descr="descript"/>
            <wp:cNvGraphicFramePr>
              <a:graphicFrameLocks noChangeAspect="0"/>
            </wp:cNvGraphicFramePr>
            <a:graphic>
              <a:graphicData uri="http://schemas.openxmlformats.org/drawingml/2006/picture">
                <pic:pic>
                  <pic:nvPicPr>
                    <pic:cNvPr id="3" name="图片 3"/>
                    <pic:cNvPicPr/>
                  </pic:nvPicPr>
                  <pic:blipFill>
                    <a:blip r:embed="rId2"/>
                    <a:stretch>
                      <a:fillRect/>
                    </a:stretch>
                  </pic:blipFill>
                  <pic:spPr>
                    <a:xfrm rot="21600000">
                      <a:off x="0" y="0"/>
                      <a:ext cx="5236210" cy="1401171"/>
                    </a:xfrm>
                    <a:prstGeom prst="rect"/>
                    <a:noFill/>
                    <a:ln w="12700" cmpd="sng" cap="flat">
                      <a:noFill/>
                      <a:prstDash val="solid"/>
                      <a:miter/>
                    </a:ln>
                  </pic:spPr>
                </pic:pic>
              </a:graphicData>
            </a:graphic>
          </wp:inline>
        </w:drawing>
      </w:r>
    </w:p>
    <w:p>
      <w:pPr>
        <w:pStyle w:val="2"/>
        <w:ind w:left="440"/>
        <w:rPr>
          <w:sz w:val="24"/>
          <w:szCs w:val="24"/>
        </w:rPr>
      </w:pPr>
      <w:r>
        <w:rPr>
          <w:sz w:val="24"/>
          <w:szCs w:val="24"/>
        </w:rPr>
        <w:t>01 那个做示波器的公司，已经把“第二曲线”干成了“第一引擎”</w:t>
      </w:r>
    </w:p>
    <w:p>
      <w:pPr>
        <w:pStyle w:val="2"/>
        <w:spacing w:after="0" w:line="360" w:lineRule="auto"/>
        <w:rPr>
          <w:b w:val="0"/>
          <w:bCs w:val="0"/>
          <w:sz w:val="24"/>
          <w:szCs w:val="24"/>
        </w:rPr>
      </w:pPr>
      <w:r>
        <w:rPr>
          <w:b w:val="0"/>
          <w:bCs w:val="0"/>
          <w:color w:val="333333"/>
          <w:sz w:val="24"/>
          <w:szCs w:val="24"/>
        </w:rPr>
        <w:t>2025年全年，普源精电实现营业收入9.00亿元，同比增长16.04%。表面看是稳健增长，但拆开来看，结构性的变化才惊心动魄。</w:t>
      </w:r>
    </w:p>
    <w:p>
      <w:pPr>
        <w:pStyle w:val="2"/>
        <w:spacing w:after="0" w:line="360" w:lineRule="auto"/>
        <w:rPr>
          <w:b w:val="0"/>
          <w:bCs w:val="0"/>
          <w:sz w:val="24"/>
          <w:szCs w:val="24"/>
        </w:rPr>
      </w:pPr>
      <w:r>
        <w:rPr>
          <w:b w:val="0"/>
          <w:bCs w:val="0"/>
          <w:color w:val="333333"/>
          <w:sz w:val="24"/>
          <w:szCs w:val="24"/>
        </w:rPr>
        <w:t>解决方案销售收入1.79亿元，同比暴增37.58%。</w:t>
      </w:r>
    </w:p>
    <w:p>
      <w:pPr>
        <w:pStyle w:val="2"/>
        <w:spacing w:after="0" w:line="360" w:lineRule="auto"/>
        <w:rPr>
          <w:b w:val="0"/>
          <w:bCs w:val="0"/>
          <w:sz w:val="24"/>
          <w:szCs w:val="24"/>
        </w:rPr>
      </w:pPr>
      <w:r>
        <w:rPr>
          <w:b w:val="0"/>
          <w:bCs w:val="0"/>
          <w:color w:val="333333"/>
          <w:sz w:val="24"/>
          <w:szCs w:val="24"/>
        </w:rPr>
        <w:t>再看2026年一季度：营业收入2.32亿元，同比增长38.00%。解决方案销售收入6815.06万元，同比直接拉升144.64%。</w:t>
      </w:r>
    </w:p>
    <w:p>
      <w:pPr>
        <w:pStyle w:val="2"/>
        <w:spacing w:after="0" w:line="360" w:lineRule="auto"/>
        <w:rPr>
          <w:b w:val="0"/>
          <w:bCs w:val="0"/>
          <w:sz w:val="24"/>
          <w:szCs w:val="24"/>
        </w:rPr>
      </w:pPr>
      <w:r>
        <w:rPr>
          <w:b w:val="0"/>
          <w:bCs w:val="0"/>
          <w:color w:val="333333"/>
          <w:sz w:val="24"/>
          <w:szCs w:val="24"/>
        </w:rPr>
        <w:t>这已经不是“增长”了，这是在“起飞”。</w:t>
      </w:r>
    </w:p>
    <w:p>
      <w:pPr>
        <w:pStyle w:val="2"/>
        <w:spacing w:after="0" w:line="360" w:lineRule="auto"/>
        <w:rPr>
          <w:b w:val="0"/>
          <w:bCs w:val="0"/>
          <w:sz w:val="24"/>
          <w:szCs w:val="24"/>
        </w:rPr>
      </w:pPr>
      <w:r>
        <w:rPr>
          <w:b w:val="0"/>
          <w:bCs w:val="0"/>
          <w:color w:val="333333"/>
          <w:sz w:val="24"/>
          <w:szCs w:val="24"/>
        </w:rPr>
        <w:t>而且飞得最猛的，是SPQ数字化阵列测控系统。2025年确认收入5176.73万元，同比飙升910.26%。2026年Q1确认收入3587.43万元，同比再跳601.71%。</w:t>
      </w:r>
    </w:p>
    <w:p>
      <w:pPr>
        <w:pStyle w:val="2"/>
        <w:spacing w:after="0" w:line="360" w:lineRule="auto"/>
        <w:rPr>
          <w:b w:val="0"/>
          <w:bCs w:val="0"/>
          <w:sz w:val="24"/>
          <w:szCs w:val="24"/>
        </w:rPr>
      </w:pPr>
      <w:r>
        <w:rPr>
          <w:b w:val="0"/>
          <w:bCs w:val="0"/>
          <w:color w:val="333333"/>
          <w:sz w:val="24"/>
          <w:szCs w:val="24"/>
        </w:rPr>
        <w:t>一个季度，干出了去年全年70%的SPQ收入。</w:t>
      </w:r>
    </w:p>
    <w:p>
      <w:pPr>
        <w:pStyle w:val="2"/>
        <w:spacing w:after="0" w:line="360" w:lineRule="auto"/>
        <w:rPr>
          <w:b w:val="0"/>
          <w:bCs w:val="0"/>
          <w:sz w:val="24"/>
          <w:szCs w:val="24"/>
        </w:rPr>
      </w:pPr>
      <w:r>
        <w:rPr>
          <w:b w:val="0"/>
          <w:bCs w:val="0"/>
          <w:color w:val="333333"/>
          <w:sz w:val="24"/>
          <w:szCs w:val="24"/>
        </w:rPr>
        <w:t>这个速度，不是靠多卖几台示波器能跑出来的。这是一套完全不同的业务逻辑在发力。 示波器的增长是线性爬坡，解决方案的增长是指数跳涨。前者卖的是参数，后者卖的是能力。</w:t>
      </w:r>
    </w:p>
    <w:p>
      <w:pPr>
        <w:pStyle w:val="2"/>
        <w:spacing w:after="0" w:line="360" w:lineRule="auto"/>
        <w:rPr>
          <w:b w:val="0"/>
          <w:bCs w:val="0"/>
          <w:sz w:val="24"/>
          <w:szCs w:val="24"/>
        </w:rPr>
      </w:pPr>
      <w:r>
        <w:rPr>
          <w:b w:val="0"/>
          <w:bCs w:val="0"/>
          <w:color w:val="333333"/>
          <w:sz w:val="24"/>
          <w:szCs w:val="24"/>
        </w:rPr>
        <w:t>更关键的数字藏在利润率里。</w:t>
      </w:r>
    </w:p>
    <w:p>
      <w:pPr>
        <w:pStyle w:val="2"/>
        <w:spacing w:after="0" w:line="360" w:lineRule="auto"/>
        <w:rPr>
          <w:b w:val="0"/>
          <w:bCs w:val="0"/>
          <w:sz w:val="24"/>
          <w:szCs w:val="24"/>
        </w:rPr>
      </w:pPr>
      <w:r>
        <w:rPr>
          <w:b w:val="0"/>
          <w:bCs w:val="0"/>
          <w:color w:val="333333"/>
          <w:sz w:val="24"/>
          <w:szCs w:val="24"/>
        </w:rPr>
        <w:t>2025年，普源精电主营的电子测试测量仪器毛利率是53.27%，而解决方案及其他业务的毛利率是64.93%。高出了将近12个百分点。</w:t>
      </w:r>
    </w:p>
    <w:p>
      <w:pPr>
        <w:pStyle w:val="2"/>
        <w:spacing w:after="0" w:line="360" w:lineRule="auto"/>
        <w:rPr>
          <w:b w:val="0"/>
          <w:bCs w:val="0"/>
          <w:sz w:val="24"/>
          <w:szCs w:val="24"/>
        </w:rPr>
      </w:pPr>
      <w:r>
        <w:rPr>
          <w:b w:val="0"/>
          <w:bCs w:val="0"/>
          <w:color w:val="333333"/>
          <w:sz w:val="24"/>
          <w:szCs w:val="24"/>
        </w:rPr>
        <w:t>到2026年Q1，公司整体毛利率拉到了58.10%，公司自己在财报里解释：“主要得益于解决方案类业务占比提升与结构优化。”</w:t>
      </w:r>
    </w:p>
    <w:p>
      <w:pPr>
        <w:pStyle w:val="2"/>
        <w:spacing w:after="0" w:line="360" w:lineRule="auto"/>
        <w:rPr>
          <w:b w:val="0"/>
          <w:bCs w:val="0"/>
          <w:sz w:val="24"/>
          <w:szCs w:val="24"/>
        </w:rPr>
      </w:pPr>
      <w:r>
        <w:rPr>
          <w:b w:val="0"/>
          <w:bCs w:val="0"/>
          <w:color w:val="333333"/>
          <w:sz w:val="24"/>
          <w:szCs w:val="24"/>
        </w:rPr>
        <w:t>翻译成大白话：高利润的方案卖得多了，把整体利润水平硬拉上去了。 这不是简单的叠加，这是盈利模型的重构。</w:t>
      </w:r>
    </w:p>
    <w:p>
      <w:pPr>
        <w:pStyle w:val="2"/>
        <w:spacing w:line="360" w:lineRule="auto"/>
        <w:ind w:left="440"/>
        <w:rPr>
          <w:sz w:val="24"/>
          <w:szCs w:val="24"/>
        </w:rPr>
      </w:pPr>
      <w:r>
        <w:rPr>
          <w:color w:val="333333"/>
          <w:sz w:val="24"/>
          <w:szCs w:val="24"/>
        </w:rPr>
        <w:t>02 耐数电子：买的不是躯壳，是灵魂</w:t>
      </w:r>
    </w:p>
    <w:p>
      <w:pPr>
        <w:pStyle w:val="2"/>
        <w:spacing w:after="0" w:line="360" w:lineRule="auto"/>
        <w:rPr>
          <w:b w:val="0"/>
          <w:bCs w:val="0"/>
          <w:sz w:val="24"/>
          <w:szCs w:val="24"/>
        </w:rPr>
      </w:pPr>
      <w:r>
        <w:rPr>
          <w:b w:val="0"/>
          <w:bCs w:val="0"/>
          <w:color w:val="333333"/>
          <w:sz w:val="24"/>
          <w:szCs w:val="24"/>
        </w:rPr>
        <w:t>这一切的背后，站着一个人——耐数电子。</w:t>
      </w:r>
    </w:p>
    <w:p>
      <w:pPr>
        <w:pStyle w:val="2"/>
        <w:spacing w:after="0" w:line="360" w:lineRule="auto"/>
        <w:rPr>
          <w:b w:val="0"/>
          <w:bCs w:val="0"/>
          <w:sz w:val="24"/>
          <w:szCs w:val="24"/>
        </w:rPr>
      </w:pPr>
      <w:r>
        <w:rPr>
          <w:b w:val="0"/>
          <w:bCs w:val="0"/>
          <w:color w:val="333333"/>
          <w:sz w:val="24"/>
          <w:szCs w:val="24"/>
        </w:rPr>
        <w:t>2024年，普源精电完成对耐数电子100%股权的收购。当时市场对这笔交易的理解，多半还停留在“补一个产品线”上。现在看，这个理解浅了。</w:t>
      </w:r>
    </w:p>
    <w:p>
      <w:pPr>
        <w:pStyle w:val="2"/>
        <w:spacing w:after="0" w:line="360" w:lineRule="auto"/>
        <w:rPr>
          <w:b w:val="0"/>
          <w:bCs w:val="0"/>
          <w:sz w:val="24"/>
          <w:szCs w:val="24"/>
        </w:rPr>
      </w:pPr>
      <w:r>
        <w:rPr>
          <w:b w:val="0"/>
          <w:bCs w:val="0"/>
          <w:color w:val="333333"/>
          <w:sz w:val="24"/>
          <w:szCs w:val="24"/>
        </w:rPr>
        <w:t>2025年，耐数电子营业收入干到了1.00亿元，净利润4742.68万元，扣非净利润4736.10万元。业绩承诺要求每年扣非净利润不低于1500万元。</w:t>
      </w:r>
    </w:p>
    <w:p>
      <w:pPr>
        <w:pStyle w:val="2"/>
        <w:spacing w:after="0" w:line="360" w:lineRule="auto"/>
        <w:rPr>
          <w:b w:val="0"/>
          <w:bCs w:val="0"/>
          <w:sz w:val="24"/>
          <w:szCs w:val="24"/>
        </w:rPr>
      </w:pPr>
      <w:r>
        <w:rPr>
          <w:b w:val="0"/>
          <w:bCs w:val="0"/>
          <w:color w:val="333333"/>
          <w:sz w:val="24"/>
          <w:szCs w:val="24"/>
        </w:rPr>
        <w:t>耐数交出了一份超过承诺三倍的成绩单。</w:t>
      </w:r>
    </w:p>
    <w:p>
      <w:pPr>
        <w:pStyle w:val="2"/>
        <w:spacing w:after="0" w:line="360" w:lineRule="auto"/>
        <w:rPr>
          <w:b w:val="0"/>
          <w:bCs w:val="0"/>
          <w:sz w:val="24"/>
          <w:szCs w:val="24"/>
        </w:rPr>
      </w:pPr>
      <w:r>
        <w:rPr>
          <w:b w:val="0"/>
          <w:bCs w:val="0"/>
          <w:color w:val="333333"/>
          <w:sz w:val="24"/>
          <w:szCs w:val="24"/>
        </w:rPr>
        <w:t>47%的净利润率。注意，这不是毛利率，这是“扣非净利润率”。在整个电子测量仪器行业，这个数字意味着：这不是一家靠堆量、拼价格、卷参数的公司。这是一家靠技术壁垒、靠系统设计能力、靠项目交付能力吃饭的公司。</w:t>
      </w:r>
    </w:p>
    <w:p>
      <w:pPr>
        <w:pStyle w:val="2"/>
        <w:spacing w:after="0" w:line="360" w:lineRule="auto"/>
        <w:rPr>
          <w:b w:val="0"/>
          <w:bCs w:val="0"/>
          <w:sz w:val="24"/>
          <w:szCs w:val="24"/>
        </w:rPr>
      </w:pPr>
      <w:r>
        <w:rPr>
          <w:b w:val="0"/>
          <w:bCs w:val="0"/>
          <w:sz w:val="24"/>
          <w:szCs w:val="24"/>
        </w:rPr>
        <w:drawing>
          <wp:inline distT="0" distB="0" distL="0" distR="0">
            <wp:extent cx="5236210" cy="1469048"/>
            <wp:effectExtent l="0" t="0" r="16" b="30"/>
            <wp:docPr id="4" name="图片 4" descr="descript"/>
            <wp:cNvGraphicFramePr>
              <a:graphicFrameLocks noChangeAspect="0"/>
            </wp:cNvGraphicFramePr>
            <a:graphic>
              <a:graphicData uri="http://schemas.openxmlformats.org/drawingml/2006/picture">
                <pic:pic>
                  <pic:nvPicPr>
                    <pic:cNvPr id="6" name="图片 6"/>
                    <pic:cNvPicPr/>
                  </pic:nvPicPr>
                  <pic:blipFill>
                    <a:blip r:embed="rId3"/>
                    <a:stretch>
                      <a:fillRect/>
                    </a:stretch>
                  </pic:blipFill>
                  <pic:spPr>
                    <a:xfrm rot="21600000">
                      <a:off x="0" y="0"/>
                      <a:ext cx="5236210" cy="1469048"/>
                    </a:xfrm>
                    <a:prstGeom prst="rect"/>
                    <a:noFill/>
                    <a:ln w="12700" cmpd="sng" cap="flat">
                      <a:noFill/>
                      <a:prstDash val="solid"/>
                      <a:miter/>
                    </a:ln>
                  </pic:spPr>
                </pic:pic>
              </a:graphicData>
            </a:graphic>
          </wp:inline>
        </w:drawing>
      </w:r>
    </w:p>
    <w:p>
      <w:pPr>
        <w:pStyle w:val="2"/>
        <w:spacing w:after="0" w:line="360" w:lineRule="auto"/>
        <w:rPr>
          <w:b w:val="0"/>
          <w:bCs w:val="0"/>
          <w:sz w:val="24"/>
          <w:szCs w:val="24"/>
        </w:rPr>
      </w:pPr>
      <w:r>
        <w:rPr>
          <w:b w:val="0"/>
          <w:bCs w:val="0"/>
          <w:color w:val="333333"/>
          <w:sz w:val="24"/>
          <w:szCs w:val="24"/>
        </w:rPr>
        <w:t>普源精电收购耐数，是在“买灵魂”，而不是“买躯壳”。</w:t>
      </w:r>
    </w:p>
    <w:p>
      <w:pPr>
        <w:pStyle w:val="2"/>
        <w:spacing w:after="0" w:line="360" w:lineRule="auto"/>
        <w:rPr>
          <w:b w:val="0"/>
          <w:bCs w:val="0"/>
          <w:sz w:val="24"/>
          <w:szCs w:val="24"/>
        </w:rPr>
      </w:pPr>
      <w:r>
        <w:rPr>
          <w:b w:val="0"/>
          <w:bCs w:val="0"/>
          <w:color w:val="333333"/>
          <w:sz w:val="24"/>
          <w:szCs w:val="24"/>
        </w:rPr>
        <w:t>耐数带来的，不是一个产品品类，是一种能力基因。数字阵列测控系统（SPQ），本质上是一个“仪器+算法+软件+系统集成”的综合体。它不是一台仪器，它是一个完整的测试工作站。卖这个东西，不是卖硬件，是卖方案、卖服务、卖交付。这种能力的利润率，天然就比卖设备高出一大截。</w:t>
      </w:r>
    </w:p>
    <w:p>
      <w:pPr>
        <w:pStyle w:val="2"/>
        <w:spacing w:after="0" w:line="360" w:lineRule="auto"/>
        <w:rPr>
          <w:b w:val="0"/>
          <w:bCs w:val="0"/>
          <w:sz w:val="24"/>
          <w:szCs w:val="24"/>
        </w:rPr>
      </w:pPr>
      <w:r>
        <w:rPr>
          <w:b w:val="0"/>
          <w:bCs w:val="0"/>
          <w:color w:val="333333"/>
          <w:sz w:val="24"/>
          <w:szCs w:val="24"/>
        </w:rPr>
        <w:t>这种能力，正是全球电子测量巨头们在过去二十年里通过一轮又一轮并购拼命构建的东西。是德科技收购Anite、Ixia、Eggplant，罗德与施瓦茨收购苏黎世仪器，泰克收购EA Elektro-Automatik……</w:t>
      </w:r>
    </w:p>
    <w:p>
      <w:pPr>
        <w:pStyle w:val="2"/>
        <w:spacing w:after="0" w:line="360" w:lineRule="auto"/>
        <w:rPr>
          <w:b w:val="0"/>
          <w:bCs w:val="0"/>
          <w:sz w:val="24"/>
          <w:szCs w:val="24"/>
        </w:rPr>
      </w:pPr>
      <w:r>
        <w:rPr>
          <w:b w:val="0"/>
          <w:bCs w:val="0"/>
          <w:color w:val="333333"/>
          <w:sz w:val="24"/>
          <w:szCs w:val="24"/>
        </w:rPr>
        <w:t>全球仪器的竞争，早已从“谁的示波器带宽更高”变成了“谁能给客户完整的测试解决方案”。 普源正在用同样的剧本，书写自己的下半场。</w:t>
      </w:r>
    </w:p>
    <w:p>
      <w:pPr>
        <w:pStyle w:val="2"/>
        <w:spacing w:after="0" w:line="360" w:lineRule="auto"/>
        <w:rPr>
          <w:b w:val="0"/>
          <w:bCs w:val="0"/>
          <w:sz w:val="24"/>
          <w:szCs w:val="24"/>
        </w:rPr>
      </w:pPr>
      <w:r>
        <w:rPr>
          <w:b w:val="0"/>
          <w:bCs w:val="0"/>
          <w:sz w:val="24"/>
          <w:szCs w:val="24"/>
        </w:rPr>
        <w:drawing>
          <wp:inline distT="0" distB="0" distL="0" distR="0">
            <wp:extent cx="5236210" cy="3490805"/>
            <wp:effectExtent l="0" t="0" r="16" b="41"/>
            <wp:docPr id="7" name="图片 7" descr="descript"/>
            <wp:cNvGraphicFramePr>
              <a:graphicFrameLocks noChangeAspect="0"/>
            </wp:cNvGraphicFramePr>
            <a:graphic>
              <a:graphicData uri="http://schemas.openxmlformats.org/drawingml/2006/picture">
                <pic:pic>
                  <pic:nvPicPr>
                    <pic:cNvPr id="9" name="图片 9"/>
                    <pic:cNvPicPr/>
                  </pic:nvPicPr>
                  <pic:blipFill>
                    <a:blip r:embed="rId4"/>
                    <a:stretch>
                      <a:fillRect/>
                    </a:stretch>
                  </pic:blipFill>
                  <pic:spPr>
                    <a:xfrm rot="21600000">
                      <a:off x="0" y="0"/>
                      <a:ext cx="5236210" cy="3490805"/>
                    </a:xfrm>
                    <a:prstGeom prst="rect"/>
                    <a:noFill/>
                    <a:ln w="12700" cmpd="sng" cap="flat">
                      <a:noFill/>
                      <a:prstDash val="solid"/>
                      <a:miter/>
                    </a:ln>
                  </pic:spPr>
                </pic:pic>
              </a:graphicData>
            </a:graphic>
          </wp:inline>
        </w:drawing>
      </w:r>
    </w:p>
    <w:p>
      <w:pPr>
        <w:pStyle w:val="2"/>
        <w:spacing w:line="360" w:lineRule="auto"/>
        <w:ind w:left="440"/>
        <w:rPr>
          <w:sz w:val="24"/>
          <w:szCs w:val="24"/>
        </w:rPr>
      </w:pPr>
      <w:r>
        <w:rPr>
          <w:color w:val="333333"/>
          <w:sz w:val="24"/>
          <w:szCs w:val="24"/>
        </w:rPr>
        <w:t>03 光通信：一把刀，切进了最肥的缺口</w:t>
      </w:r>
    </w:p>
    <w:p>
      <w:pPr>
        <w:pStyle w:val="2"/>
        <w:spacing w:after="0" w:line="360" w:lineRule="auto"/>
        <w:rPr>
          <w:b w:val="0"/>
          <w:bCs w:val="0"/>
          <w:sz w:val="24"/>
          <w:szCs w:val="24"/>
        </w:rPr>
      </w:pPr>
      <w:r>
        <w:rPr>
          <w:b w:val="0"/>
          <w:bCs w:val="0"/>
          <w:color w:val="333333"/>
          <w:sz w:val="24"/>
          <w:szCs w:val="24"/>
        </w:rPr>
        <w:t>另一个信号，藏在客户结构里。这个信号的爆发力，比解决方案的收入数字还要惊人。</w:t>
      </w:r>
    </w:p>
    <w:p>
      <w:pPr>
        <w:pStyle w:val="2"/>
        <w:spacing w:after="0" w:line="360" w:lineRule="auto"/>
        <w:rPr>
          <w:b w:val="0"/>
          <w:bCs w:val="0"/>
          <w:sz w:val="24"/>
          <w:szCs w:val="24"/>
        </w:rPr>
      </w:pPr>
      <w:r>
        <w:rPr>
          <w:b w:val="0"/>
          <w:bCs w:val="0"/>
          <w:color w:val="333333"/>
          <w:sz w:val="24"/>
          <w:szCs w:val="24"/>
        </w:rPr>
        <w:t>2025年，普源精电大客户销售收入同比增长54.98%。其中光通信领域的核心大客户，销售收入同比增幅达到70.45%。到2026年Q1，大客户销售直接飙升194.17%，光通信核心客户同比暴涨147.71%。</w:t>
      </w:r>
    </w:p>
    <w:p>
      <w:pPr>
        <w:pStyle w:val="2"/>
        <w:spacing w:after="0" w:line="360" w:lineRule="auto"/>
        <w:rPr>
          <w:b w:val="0"/>
          <w:bCs w:val="0"/>
          <w:sz w:val="24"/>
          <w:szCs w:val="24"/>
        </w:rPr>
      </w:pPr>
      <w:r>
        <w:rPr>
          <w:b w:val="0"/>
          <w:bCs w:val="0"/>
          <w:color w:val="333333"/>
          <w:sz w:val="24"/>
          <w:szCs w:val="24"/>
        </w:rPr>
        <w:t>这是一组自带结论的数据。 增长的绝对值在猛涨，增长的速度在猛涨，增长的质量——高粘性客户的复购——也在猛涨。</w:t>
      </w:r>
    </w:p>
    <w:p>
      <w:pPr>
        <w:pStyle w:val="2"/>
        <w:spacing w:after="0" w:line="360" w:lineRule="auto"/>
        <w:rPr>
          <w:b w:val="0"/>
          <w:bCs w:val="0"/>
          <w:sz w:val="24"/>
          <w:szCs w:val="24"/>
        </w:rPr>
      </w:pPr>
      <w:r>
        <w:rPr>
          <w:b w:val="0"/>
          <w:bCs w:val="0"/>
          <w:color w:val="333333"/>
          <w:sz w:val="24"/>
          <w:szCs w:val="24"/>
        </w:rPr>
        <w:t>大客户的导入周期有多长，行业里的人心里都清楚。从送样测试到小批量验证，从产线磨合到规模化采购，每一步都是用时间堆出来的。一旦放量，意味着供应商资格早在一两年前就已经锁定了。普源在光通信产业链里，已经跨过了最难的“试用期”，进入了“批量供货期”。</w:t>
      </w:r>
    </w:p>
    <w:p>
      <w:pPr>
        <w:pStyle w:val="2"/>
        <w:spacing w:after="0" w:line="360" w:lineRule="auto"/>
        <w:rPr>
          <w:b w:val="0"/>
          <w:bCs w:val="0"/>
          <w:sz w:val="24"/>
          <w:szCs w:val="24"/>
        </w:rPr>
      </w:pPr>
      <w:r>
        <w:rPr>
          <w:b w:val="0"/>
          <w:bCs w:val="0"/>
          <w:color w:val="333333"/>
          <w:sz w:val="24"/>
          <w:szCs w:val="24"/>
        </w:rPr>
        <w:t>那为什么光通信会突然给普源打开这么大的口子？</w:t>
      </w:r>
    </w:p>
    <w:p>
      <w:pPr>
        <w:pStyle w:val="2"/>
        <w:spacing w:after="0" w:line="360" w:lineRule="auto"/>
        <w:rPr>
          <w:b w:val="0"/>
          <w:bCs w:val="0"/>
          <w:sz w:val="24"/>
          <w:szCs w:val="24"/>
        </w:rPr>
      </w:pPr>
      <w:r>
        <w:rPr>
          <w:b w:val="0"/>
          <w:bCs w:val="0"/>
          <w:color w:val="333333"/>
          <w:sz w:val="24"/>
          <w:szCs w:val="24"/>
        </w:rPr>
        <w:t>因为AI数据中心和光模块产业链，正在从“只需要几台最高端的仪器”变成“需要一整套测试系统”。过去大家看光通信测试，脑子里跳出来的公司是是德、Anritsu、VIAVI、EXFO、泰克/吉时利。BERT测误码、DCA做眼图、光谱仪测波长……这些确实是传统豪强的壁垒，短期内很难撼动。</w:t>
      </w:r>
    </w:p>
    <w:p>
      <w:pPr>
        <w:pStyle w:val="2"/>
        <w:spacing w:after="0" w:line="360" w:lineRule="auto"/>
        <w:rPr>
          <w:b w:val="0"/>
          <w:bCs w:val="0"/>
          <w:sz w:val="24"/>
          <w:szCs w:val="24"/>
        </w:rPr>
      </w:pPr>
      <w:r>
        <w:rPr>
          <w:b w:val="0"/>
          <w:bCs w:val="0"/>
          <w:color w:val="333333"/>
          <w:sz w:val="24"/>
          <w:szCs w:val="24"/>
        </w:rPr>
        <w:t>但光模块真正跑量以后，产业链爆发出来的需求，比那几台高端仪表要庞大得多。研发环节需要大量的高分辨率示波器。验证环节需要高精度电源和电子负载。产线自动化需要DAQ系统、开关矩阵、温控模块。老化测试需要整套软件平台、夹具和系统集成。</w:t>
      </w:r>
    </w:p>
    <w:p>
      <w:pPr>
        <w:pStyle w:val="2"/>
        <w:spacing w:after="0" w:line="360" w:lineRule="auto"/>
        <w:rPr>
          <w:b w:val="0"/>
          <w:bCs w:val="0"/>
          <w:sz w:val="24"/>
          <w:szCs w:val="24"/>
        </w:rPr>
      </w:pPr>
      <w:r>
        <w:rPr>
          <w:b w:val="0"/>
          <w:bCs w:val="0"/>
          <w:sz w:val="24"/>
          <w:szCs w:val="24"/>
        </w:rPr>
        <w:drawing>
          <wp:inline distT="0" distB="0" distL="0" distR="0">
            <wp:extent cx="5236210" cy="3927158"/>
            <wp:effectExtent l="0" t="0" r="16" b="35"/>
            <wp:docPr id="10" name="图片 10" descr="descript"/>
            <wp:cNvGraphicFramePr>
              <a:graphicFrameLocks noChangeAspect="0"/>
            </wp:cNvGraphicFramePr>
            <a:graphic>
              <a:graphicData uri="http://schemas.openxmlformats.org/drawingml/2006/picture">
                <pic:pic>
                  <pic:nvPicPr>
                    <pic:cNvPr id="12" name="图片 12"/>
                    <pic:cNvPicPr/>
                  </pic:nvPicPr>
                  <pic:blipFill>
                    <a:blip r:embed="rId5"/>
                    <a:stretch>
                      <a:fillRect/>
                    </a:stretch>
                  </pic:blipFill>
                  <pic:spPr>
                    <a:xfrm rot="21600000">
                      <a:off x="0" y="0"/>
                      <a:ext cx="5236210" cy="3927158"/>
                    </a:xfrm>
                    <a:prstGeom prst="rect"/>
                    <a:noFill/>
                    <a:ln w="12700" cmpd="sng" cap="flat">
                      <a:noFill/>
                      <a:prstDash val="solid"/>
                      <a:miter/>
                    </a:ln>
                  </pic:spPr>
                </pic:pic>
              </a:graphicData>
            </a:graphic>
          </wp:inline>
        </w:drawing>
      </w:r>
    </w:p>
    <w:p>
      <w:pPr>
        <w:pStyle w:val="2"/>
        <w:spacing w:after="0" w:line="360" w:lineRule="auto"/>
        <w:rPr>
          <w:b w:val="0"/>
          <w:bCs w:val="0"/>
          <w:sz w:val="24"/>
          <w:szCs w:val="24"/>
        </w:rPr>
      </w:pPr>
      <w:r>
        <w:rPr>
          <w:b w:val="0"/>
          <w:bCs w:val="0"/>
          <w:color w:val="333333"/>
          <w:sz w:val="24"/>
          <w:szCs w:val="24"/>
        </w:rPr>
        <w:t>这块预算有多大？大到足以催生一个全新的市场空间。</w:t>
      </w:r>
    </w:p>
    <w:p>
      <w:pPr>
        <w:pStyle w:val="2"/>
        <w:spacing w:after="0" w:line="360" w:lineRule="auto"/>
        <w:rPr>
          <w:b w:val="0"/>
          <w:bCs w:val="0"/>
          <w:sz w:val="24"/>
          <w:szCs w:val="24"/>
        </w:rPr>
      </w:pPr>
      <w:r>
        <w:rPr>
          <w:b w:val="0"/>
          <w:bCs w:val="0"/>
          <w:color w:val="333333"/>
          <w:sz w:val="24"/>
          <w:szCs w:val="24"/>
        </w:rPr>
        <w:t>而这块市场最看重什么？不是谁家的示波器能到110GHz，而是谁能把成本压下去、谁能把货期缩短到四周以内、谁能派驻工程师在产线上随叫随到、谁能根据下周的工艺变更三天内改出新的测试脚本。</w:t>
      </w:r>
    </w:p>
    <w:p>
      <w:pPr>
        <w:pStyle w:val="2"/>
        <w:spacing w:after="0" w:line="360" w:lineRule="auto"/>
        <w:rPr>
          <w:b w:val="0"/>
          <w:bCs w:val="0"/>
          <w:sz w:val="24"/>
          <w:szCs w:val="24"/>
        </w:rPr>
      </w:pPr>
      <w:r>
        <w:rPr>
          <w:b w:val="0"/>
          <w:bCs w:val="0"/>
          <w:color w:val="333333"/>
          <w:sz w:val="24"/>
          <w:szCs w:val="24"/>
        </w:rPr>
        <w:t>这些活，外企不是不想干，是组织架构、成本结构和决策链条决定了他们干不快、干不便宜。这恰恰是国产仪器最锋利的刀。</w:t>
      </w:r>
    </w:p>
    <w:p>
      <w:pPr>
        <w:pStyle w:val="2"/>
        <w:spacing w:after="0" w:line="360" w:lineRule="auto"/>
        <w:rPr>
          <w:b w:val="0"/>
          <w:bCs w:val="0"/>
          <w:sz w:val="24"/>
          <w:szCs w:val="24"/>
        </w:rPr>
      </w:pPr>
      <w:r>
        <w:rPr>
          <w:b w:val="0"/>
          <w:bCs w:val="0"/>
          <w:color w:val="333333"/>
          <w:sz w:val="24"/>
          <w:szCs w:val="24"/>
        </w:rPr>
        <w:t>普源现在切的，就是这个口子。不是去跟是德争那几台BERT的订单，而是去包下整条产线从调试到老化的测试配套。从“卖一台仪器”变成“包一条产线”，客单价和客户粘性都是数量级的跃迁。</w:t>
      </w:r>
    </w:p>
    <w:p>
      <w:pPr>
        <w:pStyle w:val="2"/>
        <w:spacing w:after="0" w:line="360" w:lineRule="auto"/>
        <w:rPr>
          <w:b w:val="0"/>
          <w:bCs w:val="0"/>
          <w:sz w:val="24"/>
          <w:szCs w:val="24"/>
        </w:rPr>
      </w:pPr>
      <w:r>
        <w:rPr>
          <w:b w:val="0"/>
          <w:bCs w:val="0"/>
          <w:color w:val="333333"/>
          <w:sz w:val="24"/>
          <w:szCs w:val="24"/>
        </w:rPr>
        <w:t>这个趋势才刚刚开始。AI数据中心还在扩建，光模块速率从400G到800G再到1.6T，每一轮升级都意味着新的测试预算要花出去。普源精电站的位置，正好踩在了这个产业链扩张的节拍上。</w:t>
      </w:r>
    </w:p>
    <w:p>
      <w:pPr>
        <w:pStyle w:val="2"/>
        <w:spacing w:line="360" w:lineRule="auto"/>
        <w:ind w:left="440"/>
        <w:rPr>
          <w:sz w:val="24"/>
          <w:szCs w:val="24"/>
        </w:rPr>
      </w:pPr>
      <w:r>
        <w:rPr>
          <w:color w:val="333333"/>
          <w:sz w:val="24"/>
          <w:szCs w:val="24"/>
        </w:rPr>
        <w:t>04 把逻辑串起来：一幅清晰的战略地图</w:t>
      </w:r>
    </w:p>
    <w:p>
      <w:pPr>
        <w:pStyle w:val="2"/>
        <w:spacing w:after="0" w:line="360" w:lineRule="auto"/>
        <w:rPr>
          <w:b w:val="0"/>
          <w:bCs w:val="0"/>
          <w:sz w:val="24"/>
          <w:szCs w:val="24"/>
        </w:rPr>
      </w:pPr>
      <w:r>
        <w:rPr>
          <w:b w:val="0"/>
          <w:bCs w:val="0"/>
          <w:color w:val="333333"/>
          <w:sz w:val="24"/>
          <w:szCs w:val="24"/>
        </w:rPr>
        <w:t>把这几件事拼在一起，一幅战略地图就清楚地浮出来了。</w:t>
      </w:r>
    </w:p>
    <w:p>
      <w:pPr>
        <w:pStyle w:val="2"/>
        <w:spacing w:after="0" w:line="360" w:lineRule="auto"/>
        <w:rPr>
          <w:b w:val="0"/>
          <w:bCs w:val="0"/>
          <w:sz w:val="24"/>
          <w:szCs w:val="24"/>
        </w:rPr>
      </w:pPr>
      <w:r>
        <w:rPr>
          <w:b w:val="0"/>
          <w:bCs w:val="0"/>
          <w:color w:val="333333"/>
          <w:sz w:val="24"/>
          <w:szCs w:val="24"/>
        </w:rPr>
        <w:t>硬件层面： 自研ASIC芯</w:t>
      </w:r>
      <w:bookmarkStart w:id="0" w:name="_GoBack"/>
      <w:bookmarkEnd w:id="0"/>
      <w:r>
        <w:rPr>
          <w:b w:val="0"/>
          <w:bCs w:val="0"/>
          <w:color w:val="333333"/>
          <w:sz w:val="24"/>
          <w:szCs w:val="24"/>
        </w:rPr>
        <w:t>片的数字示波器持续迭代，MHO/DHO高分辨率系列增长强劲（2025年同比增长27.61%，2026年Q1同比增长25.10%），高端示波器（带宽≥2GHz）2026年Q1同比增长29.47%。基本盘的“肌肉”在持续增强，这是压舱石。</w:t>
      </w:r>
    </w:p>
    <w:p>
      <w:pPr>
        <w:pStyle w:val="2"/>
        <w:spacing w:after="0" w:line="360" w:lineRule="auto"/>
        <w:rPr>
          <w:b w:val="0"/>
          <w:bCs w:val="0"/>
          <w:sz w:val="24"/>
          <w:szCs w:val="24"/>
        </w:rPr>
      </w:pPr>
      <w:r>
        <w:rPr>
          <w:b w:val="0"/>
          <w:bCs w:val="0"/>
          <w:color w:val="333333"/>
          <w:sz w:val="24"/>
          <w:szCs w:val="24"/>
        </w:rPr>
        <w:t>方案层面： 以耐数电子为核心，SPQ阵列测控系统快速放量，解决方案从“锦上添花”变成“营收引擎”。这部分业务技术壁垒高、毛利率高、客户粘性高。这是增长极。</w:t>
      </w:r>
    </w:p>
    <w:p>
      <w:pPr>
        <w:pStyle w:val="2"/>
        <w:spacing w:after="0" w:line="360" w:lineRule="auto"/>
        <w:rPr>
          <w:b w:val="0"/>
          <w:bCs w:val="0"/>
          <w:sz w:val="24"/>
          <w:szCs w:val="24"/>
        </w:rPr>
      </w:pPr>
      <w:r>
        <w:rPr>
          <w:b w:val="0"/>
          <w:bCs w:val="0"/>
          <w:color w:val="333333"/>
          <w:sz w:val="24"/>
          <w:szCs w:val="24"/>
        </w:rPr>
        <w:t>行业层面： 锁定通信、半导体、新能源三大赛道。尤其在光通信和AI数据中心领域，已深度嵌入龙头客户供应链，大客户放量进入加速期。这是主航道。</w:t>
      </w:r>
    </w:p>
    <w:p>
      <w:pPr>
        <w:pStyle w:val="2"/>
        <w:spacing w:after="0" w:line="360" w:lineRule="auto"/>
        <w:rPr>
          <w:b w:val="0"/>
          <w:bCs w:val="0"/>
          <w:sz w:val="24"/>
          <w:szCs w:val="24"/>
        </w:rPr>
      </w:pPr>
      <w:r>
        <w:rPr>
          <w:b w:val="0"/>
          <w:bCs w:val="0"/>
          <w:color w:val="333333"/>
          <w:sz w:val="24"/>
          <w:szCs w:val="24"/>
        </w:rPr>
        <w:t>全球化层面： H股发行上市已获备案，海外研发、生产、营销网络持续完善。马来西亚槟城的生产中心、研发中心在协同运转。普源精电的A+H双资本平台，正在为这场全球化远征储备弹药。这是大后方。</w:t>
      </w:r>
    </w:p>
    <w:p>
      <w:pPr>
        <w:pStyle w:val="2"/>
        <w:spacing w:after="0" w:line="360" w:lineRule="auto"/>
        <w:rPr>
          <w:b w:val="0"/>
          <w:bCs w:val="0"/>
          <w:sz w:val="24"/>
          <w:szCs w:val="24"/>
        </w:rPr>
      </w:pPr>
      <w:r>
        <w:rPr>
          <w:b w:val="0"/>
          <w:bCs w:val="0"/>
          <w:color w:val="333333"/>
          <w:sz w:val="24"/>
          <w:szCs w:val="24"/>
        </w:rPr>
        <w:t>四个层面互为支撑，互相咬合。硬件撑住方案的底层技术，方案拉动硬件的批量出货，大客户锁定行业入口，全球化打开增长天花板。</w:t>
      </w:r>
    </w:p>
    <w:p>
      <w:pPr>
        <w:pStyle w:val="2"/>
        <w:spacing w:after="0" w:line="360" w:lineRule="auto"/>
        <w:rPr>
          <w:b w:val="0"/>
          <w:bCs w:val="0"/>
          <w:sz w:val="24"/>
          <w:szCs w:val="24"/>
        </w:rPr>
      </w:pPr>
      <w:r>
        <w:rPr>
          <w:b w:val="0"/>
          <w:bCs w:val="0"/>
          <w:color w:val="333333"/>
          <w:sz w:val="24"/>
          <w:szCs w:val="24"/>
        </w:rPr>
        <w:t>普源精电正在发生的变化，不是“又多了一个业务线”，而是“整个公司的价值模型在改变”。</w:t>
      </w:r>
    </w:p>
    <w:p>
      <w:pPr>
        <w:pStyle w:val="2"/>
        <w:spacing w:after="0" w:line="360" w:lineRule="auto"/>
        <w:rPr>
          <w:b w:val="0"/>
          <w:bCs w:val="0"/>
          <w:sz w:val="24"/>
          <w:szCs w:val="24"/>
        </w:rPr>
      </w:pPr>
      <w:r>
        <w:rPr>
          <w:b w:val="0"/>
          <w:bCs w:val="0"/>
          <w:color w:val="333333"/>
          <w:sz w:val="24"/>
          <w:szCs w:val="24"/>
        </w:rPr>
        <w:t>从卖仪器到卖方案。从拼参数到拼能力。从挣硬件的钱到挣系统的钱、挣服务的钱、挣交付的钱。这条路，是全球所有电子测量巨头走过的路。 吉时利从做源表起家，后来卖的是半导体测试方案。泰克从做示波器起家，后来卖的是高速串行总线一致性测试方案。是德科技从惠普仪器部门独立出来，最终卖的是从物理层到应用层的端到端解决方案。</w:t>
      </w:r>
    </w:p>
    <w:p>
      <w:pPr>
        <w:pStyle w:val="2"/>
        <w:spacing w:after="0" w:line="360" w:lineRule="auto"/>
        <w:rPr>
          <w:b w:val="0"/>
          <w:bCs w:val="0"/>
          <w:sz w:val="24"/>
          <w:szCs w:val="24"/>
        </w:rPr>
      </w:pPr>
      <w:r>
        <w:rPr>
          <w:b w:val="0"/>
          <w:bCs w:val="0"/>
          <w:color w:val="333333"/>
          <w:sz w:val="24"/>
          <w:szCs w:val="24"/>
        </w:rPr>
        <w:t>普源现在，只是刚刚踏上了这条正确但艰难的路。</w:t>
      </w:r>
    </w:p>
    <w:p>
      <w:pPr>
        <w:pStyle w:val="2"/>
        <w:spacing w:line="360" w:lineRule="auto"/>
        <w:ind w:left="440"/>
        <w:rPr>
          <w:sz w:val="24"/>
          <w:szCs w:val="24"/>
        </w:rPr>
      </w:pPr>
      <w:r>
        <w:rPr>
          <w:color w:val="333333"/>
          <w:sz w:val="24"/>
          <w:szCs w:val="24"/>
        </w:rPr>
        <w:t>05 挑战：增收不增利，是成长的阵痛</w:t>
      </w:r>
    </w:p>
    <w:p>
      <w:pPr>
        <w:pStyle w:val="2"/>
        <w:spacing w:after="0" w:line="360" w:lineRule="auto"/>
        <w:rPr>
          <w:b w:val="0"/>
          <w:bCs w:val="0"/>
          <w:sz w:val="24"/>
          <w:szCs w:val="24"/>
        </w:rPr>
      </w:pPr>
      <w:r>
        <w:rPr>
          <w:b w:val="0"/>
          <w:bCs w:val="0"/>
          <w:color w:val="333333"/>
          <w:sz w:val="24"/>
          <w:szCs w:val="24"/>
        </w:rPr>
        <w:t>当然，挑战也不是没有。</w:t>
      </w:r>
    </w:p>
    <w:p>
      <w:pPr>
        <w:pStyle w:val="2"/>
        <w:spacing w:after="0" w:line="360" w:lineRule="auto"/>
        <w:rPr>
          <w:b w:val="0"/>
          <w:bCs w:val="0"/>
          <w:sz w:val="24"/>
          <w:szCs w:val="24"/>
        </w:rPr>
      </w:pPr>
      <w:r>
        <w:rPr>
          <w:b w:val="0"/>
          <w:bCs w:val="0"/>
          <w:color w:val="333333"/>
          <w:sz w:val="24"/>
          <w:szCs w:val="24"/>
        </w:rPr>
        <w:t>2025年，公司归母净利润8.61亿元，同比下降6.74%。扣非净利润3.85亿元，同比下降34.00%。增收不增利，是客观存在的。</w:t>
      </w:r>
    </w:p>
    <w:p>
      <w:pPr>
        <w:pStyle w:val="2"/>
        <w:spacing w:after="0" w:line="360" w:lineRule="auto"/>
        <w:rPr>
          <w:b w:val="0"/>
          <w:bCs w:val="0"/>
          <w:sz w:val="24"/>
          <w:szCs w:val="24"/>
        </w:rPr>
      </w:pPr>
      <w:r>
        <w:rPr>
          <w:b w:val="0"/>
          <w:bCs w:val="0"/>
          <w:color w:val="333333"/>
          <w:sz w:val="24"/>
          <w:szCs w:val="24"/>
        </w:rPr>
        <w:t>但仔细读财报会发现，利润下滑的主要推手是所得税费用的显著增加——叠加子公司税收优惠政策到期以及递延所得税资产确认等因素——以及马来西亚基地仍然处于产能爬坡期带来的制造成本阶段性上升。前者是财务口径的调整，后者是战略投入的代价。</w:t>
      </w:r>
    </w:p>
    <w:p>
      <w:pPr>
        <w:pStyle w:val="2"/>
        <w:spacing w:after="0" w:line="360" w:lineRule="auto"/>
        <w:rPr>
          <w:b w:val="0"/>
          <w:bCs w:val="0"/>
          <w:sz w:val="24"/>
          <w:szCs w:val="24"/>
        </w:rPr>
      </w:pPr>
      <w:r>
        <w:rPr>
          <w:b w:val="0"/>
          <w:bCs w:val="0"/>
          <w:color w:val="333333"/>
          <w:sz w:val="24"/>
          <w:szCs w:val="24"/>
        </w:rPr>
        <w:t>研发投入依然维持在高强度：2025年研发费用2.26亿元，研发费用率25.09%。2026年Q1研发费用5612万元，研发费用率24.23%。这不是“乱花钱”，这是在为下一个台阶攒技术资本。</w:t>
      </w:r>
    </w:p>
    <w:p>
      <w:pPr>
        <w:pStyle w:val="2"/>
        <w:spacing w:after="0" w:line="360" w:lineRule="auto"/>
        <w:rPr>
          <w:b w:val="0"/>
          <w:bCs w:val="0"/>
          <w:sz w:val="24"/>
          <w:szCs w:val="24"/>
        </w:rPr>
      </w:pPr>
      <w:r>
        <w:rPr>
          <w:b w:val="0"/>
          <w:bCs w:val="0"/>
          <w:color w:val="333333"/>
          <w:sz w:val="24"/>
          <w:szCs w:val="24"/>
        </w:rPr>
        <w:t>费用结构也在改善：2025年管理费用率同比下降2.32个百分点，2026年Q1销售费用率、管理费用率、研发费用率全面同比下降。效率，在慢慢释放。</w:t>
      </w:r>
    </w:p>
    <w:p>
      <w:pPr>
        <w:pStyle w:val="2"/>
        <w:spacing w:line="360" w:lineRule="auto"/>
        <w:ind w:left="440"/>
        <w:rPr>
          <w:sz w:val="24"/>
          <w:szCs w:val="24"/>
        </w:rPr>
      </w:pPr>
      <w:r>
        <w:rPr>
          <w:color w:val="333333"/>
          <w:sz w:val="24"/>
          <w:szCs w:val="24"/>
        </w:rPr>
        <w:t>06 结尾：一家公司的自我认知</w:t>
      </w:r>
    </w:p>
    <w:p>
      <w:pPr>
        <w:pStyle w:val="2"/>
        <w:spacing w:after="0" w:line="360" w:lineRule="auto"/>
        <w:rPr>
          <w:b w:val="0"/>
          <w:bCs w:val="0"/>
          <w:sz w:val="24"/>
          <w:szCs w:val="24"/>
        </w:rPr>
      </w:pPr>
      <w:r>
        <w:rPr>
          <w:b w:val="0"/>
          <w:bCs w:val="0"/>
          <w:color w:val="333333"/>
          <w:sz w:val="24"/>
          <w:szCs w:val="24"/>
        </w:rPr>
        <w:t>最后看一个耐人寻味的细节。</w:t>
      </w:r>
    </w:p>
    <w:p>
      <w:pPr>
        <w:pStyle w:val="2"/>
        <w:spacing w:after="0" w:line="360" w:lineRule="auto"/>
        <w:rPr>
          <w:b w:val="0"/>
          <w:bCs w:val="0"/>
          <w:sz w:val="24"/>
          <w:szCs w:val="24"/>
        </w:rPr>
      </w:pPr>
      <w:r>
        <w:rPr>
          <w:b w:val="0"/>
          <w:bCs w:val="0"/>
          <w:color w:val="333333"/>
          <w:sz w:val="24"/>
          <w:szCs w:val="24"/>
        </w:rPr>
        <w:t>在2026年一季报里，普源精电在描述经营亮点时，一共梳理了五个板块：自研核心平台示波器、高分辨率示波器、高端示波器、大客户销售、解决方案。</w:t>
      </w:r>
    </w:p>
    <w:p>
      <w:pPr>
        <w:pStyle w:val="2"/>
        <w:spacing w:after="0" w:line="360" w:lineRule="auto"/>
        <w:rPr>
          <w:b w:val="0"/>
          <w:bCs w:val="0"/>
          <w:sz w:val="24"/>
          <w:szCs w:val="24"/>
        </w:rPr>
      </w:pPr>
      <w:r>
        <w:rPr>
          <w:b w:val="0"/>
          <w:bCs w:val="0"/>
          <w:color w:val="333333"/>
          <w:sz w:val="24"/>
          <w:szCs w:val="24"/>
        </w:rPr>
        <w:t>五个板块里，有三个讲的不是“产品”，而是“客户”和“方案”。</w:t>
      </w:r>
    </w:p>
    <w:p>
      <w:pPr>
        <w:pStyle w:val="2"/>
        <w:spacing w:after="0" w:line="360" w:lineRule="auto"/>
        <w:rPr>
          <w:b w:val="0"/>
          <w:bCs w:val="0"/>
          <w:sz w:val="24"/>
          <w:szCs w:val="24"/>
        </w:rPr>
      </w:pPr>
      <w:r>
        <w:rPr>
          <w:b w:val="0"/>
          <w:bCs w:val="0"/>
          <w:color w:val="333333"/>
          <w:sz w:val="24"/>
          <w:szCs w:val="24"/>
        </w:rPr>
        <w:t>一家公司的自我认知，藏在它如何描述自己的成绩里。</w:t>
      </w:r>
    </w:p>
    <w:p>
      <w:pPr>
        <w:pStyle w:val="2"/>
        <w:spacing w:after="0" w:line="360" w:lineRule="auto"/>
        <w:rPr>
          <w:b w:val="0"/>
          <w:bCs w:val="0"/>
          <w:sz w:val="24"/>
          <w:szCs w:val="24"/>
        </w:rPr>
      </w:pPr>
      <w:r>
        <w:rPr>
          <w:b w:val="0"/>
          <w:bCs w:val="0"/>
          <w:color w:val="333333"/>
          <w:sz w:val="24"/>
          <w:szCs w:val="24"/>
        </w:rPr>
        <w:t>普源已经不再把自己定义为一家“国产示波器龙头”了。它在告诉市场：我是一家面向通信、半导体、新能源行业的测试测量解决方案提供商。 这个转身，是财报里最值得读懂的潜台词。</w:t>
      </w:r>
    </w:p>
    <w:p>
      <w:pPr>
        <w:pStyle w:val="2"/>
        <w:spacing w:after="0" w:line="360" w:lineRule="auto"/>
        <w:rPr>
          <w:b w:val="0"/>
          <w:bCs w:val="0"/>
          <w:sz w:val="24"/>
          <w:szCs w:val="24"/>
        </w:rPr>
      </w:pPr>
      <w:r>
        <w:rPr>
          <w:b w:val="0"/>
          <w:bCs w:val="0"/>
          <w:color w:val="333333"/>
          <w:sz w:val="24"/>
          <w:szCs w:val="24"/>
        </w:rPr>
        <w:t>那个做示波器起家的公司，已经把“第二曲线”干成了“第一引擎”。光通信这块最肥的缺口，刀已经切进去了。耐数这颗棋子，正在变成棋盘上最关键的一片活眼。A+H的资本通道一旦打开，这场从苏州出发的全球远征，才算真正吹响了冲锋号。</w:t>
      </w:r>
    </w:p>
    <w:p>
      <w:pPr>
        <w:pStyle w:val="2"/>
        <w:spacing w:after="0" w:line="360" w:lineRule="auto"/>
        <w:rPr>
          <w:b w:val="0"/>
          <w:bCs w:val="0"/>
          <w:sz w:val="24"/>
          <w:szCs w:val="24"/>
        </w:rPr>
      </w:pPr>
      <w:r>
        <w:rPr>
          <w:b w:val="0"/>
          <w:bCs w:val="0"/>
          <w:i/>
          <w:color w:val="333333"/>
          <w:sz w:val="24"/>
          <w:szCs w:val="24"/>
        </w:rPr>
        <w:t>数据来源：普源精电2025年年度报告、2026年第一季度报告。本文仅为行业观察与交流，不构成任何投资建议。</w:t>
      </w:r>
    </w:p>
    <w:p>
      <w:pPr>
        <w:pStyle w:val="2"/>
        <w:spacing w:line="360" w:lineRule="auto"/>
        <w:rPr>
          <w:b w:val="0"/>
          <w:bCs w:val="0"/>
          <w:sz w:val="24"/>
          <w:szCs w:val="24"/>
        </w:rPr>
      </w:pPr>
    </w:p>
    <w:p>
      <w:pPr>
        <w:pStyle w:val="2"/>
        <w:spacing w:after="0" w:line="360" w:lineRule="auto"/>
        <w:rPr>
          <w:b w:val="0"/>
          <w:bCs w:val="0"/>
          <w:sz w:val="24"/>
          <w:szCs w:val="24"/>
        </w:rPr>
      </w:pPr>
      <w:r>
        <w:rPr>
          <w:b w:val="0"/>
          <w:bCs w:val="0"/>
          <w:color w:val="021EAA"/>
          <w:spacing w:val="8"/>
          <w:sz w:val="24"/>
          <w:szCs w:val="24"/>
          <w:shd w:val="clear" w:color="auto" w:fill="FFFFFF"/>
        </w:rPr>
        <w:t>即刻关注测海听涛微信公众号，加入电子测试测量知识库。</w:t>
      </w:r>
    </w:p>
    <w:p>
      <w:pPr>
        <w:pStyle w:val="2"/>
        <w:spacing w:line="360" w:lineRule="auto"/>
        <w:rPr>
          <w:b w:val="0"/>
          <w:bCs w:val="0"/>
          <w:sz w:val="24"/>
          <w:szCs w:val="24"/>
        </w:rPr>
      </w:pPr>
      <w:r>
        <w:rPr>
          <w:b w:val="0"/>
          <w:bCs w:val="0"/>
          <w:color w:val="021EAA"/>
          <w:spacing w:val="8"/>
          <w:sz w:val="24"/>
          <w:szCs w:val="24"/>
          <w:shd w:val="clear" w:color="auto" w:fill="FFFFFF"/>
        </w:rPr>
        <w:t>后台回复“知识库”亦或访问公众号主页菜单也可加入。</w:t>
      </w:r>
    </w:p>
    <w:p>
      <w:pPr>
        <w:pStyle w:val="2"/>
        <w:spacing w:line="360" w:lineRule="auto"/>
        <w:rPr>
          <w:b w:val="0"/>
          <w:bCs w:val="0"/>
          <w:sz w:val="24"/>
          <w:szCs w:val="24"/>
        </w:rPr>
      </w:pPr>
    </w:p>
    <w:p>
      <w:pPr>
        <w:pStyle w:val="2"/>
        <w:spacing w:line="360" w:lineRule="auto"/>
        <w:rPr>
          <w:b w:val="0"/>
          <w:bCs w:val="0"/>
          <w:sz w:val="24"/>
          <w:szCs w:val="24"/>
        </w:rPr>
      </w:pPr>
      <w:r>
        <w:rPr>
          <w:b w:val="0"/>
          <w:bCs w:val="0"/>
          <w:color w:val="B2B2B2"/>
          <w:spacing w:val="8"/>
          <w:sz w:val="24"/>
          <w:szCs w:val="24"/>
          <w:shd w:val="clear" w:color="auto" w:fill="FFFFFF"/>
        </w:rPr>
        <w:t>这是测海听涛公众号的原创文章。未经授权，禁止任何机构或个人抓取本文内容，用于训练AI大模型等用途，违者将追究法律责任。</w:t>
      </w:r>
    </w:p>
    <w:p>
      <w:pPr>
        <w:pStyle w:val="2"/>
        <w:spacing w:line="360" w:lineRule="auto"/>
        <w:rPr>
          <w:b w:val="0"/>
          <w:bCs w:val="0"/>
          <w:sz w:val="24"/>
          <w:szCs w:val="24"/>
        </w:rPr>
      </w:pPr>
    </w:p>
    <w:sectPr>
      <w:pgSz w:w="11906" w:h="16838"/>
      <w:pgMar w:top="1440" w:right="1800" w:bottom="1440" w:left="1800" w:header="712" w:footer="853" w:gutter="0"/>
      <w:docGrid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0000000000000000000"/>
    <w:charset w:val="00"/>
    <w:family w:val="auto"/>
    <w:pitch w:val="variable"/>
    <w:sig w:usb0="00000000" w:usb1="00000000" w:usb2="00000000" w:usb3="00000000" w:csb0="00000000" w:csb1="00000000"/>
  </w:font>
  <w:font w:name="宋体">
    <w:panose1 w:val="00000000000000000000"/>
    <w:charset w:val="00"/>
    <w:family w:val="auto"/>
    <w:pitch w:val="variable"/>
    <w:sig w:usb0="00000000" w:usb1="00000000" w:usb2="00000000" w:usb3="00000000" w:csb0="00000000" w:csb1="00000000"/>
  </w:font>
  <w:font w:name="minorHAnsi">
    <w:altName w:val="Noto Sans CJK SC"/>
    <w:panose1 w:val="00000000000000000000"/>
    <w:charset w:val="00"/>
    <w:family w:val="auto"/>
    <w:pitch w:val="variable"/>
    <w:sig w:usb0="00000000" w:usb1="00000000" w:usb2="00000000" w:usb3="00000000" w:csb0="00000000" w:csb1="00000000"/>
  </w:font>
  <w:font w:name="minorEastAsia">
    <w:altName w:val="Noto Sans CJK SC"/>
    <w:panose1 w:val="00000000000000000000"/>
    <w:charset w:val="00"/>
    <w:family w:val="auto"/>
    <w:pitch w:val="variable"/>
    <w:sig w:usb0="00000000" w:usb1="00000000" w:usb2="00000000" w:usb3="00000000" w:csb0="00000000" w:csb1="00000000"/>
  </w:font>
  <w:font w:name="Droid Sans Fallback">
    <w:panose1 w:val="00000000000000000000"/>
    <w:charset w:val="00"/>
    <w:family w:val="auto"/>
    <w:pitch w:val="variable"/>
    <w:sig w:usb0="00000000" w:usb1="00000000" w:usb2="00000000" w:usb3="00000000" w:csb0="00000000"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74"/>
  <w:bordersDoNotSurroundHeader/>
  <w:bordersDoNotSurroundFooter/>
  <w:defaultTabStop w:val="420"/>
  <w:drawingGridHorizontalSpacing w:val="110"/>
  <w:drawingGridVerticalSpacing w:val="156"/>
  <w:displayHorizontalDrawingGridEvery w:val="0"/>
  <w:displayVerticalDrawingGridEvery w:val="1"/>
  <w:compat>
    <w:spaceForUL/>
    <w:balanceSingleByteDoubleByteWidth/>
    <w:ulTrailSpace/>
    <w:doNotExpandShiftReturn/>
    <w:adjustLineHeightInTable/>
    <w:growAutofit/>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snapToGrid w:val="0"/>
      <w:spacing w:before="60" w:after="60" w:line="312" w:lineRule="auto"/>
      <w:jc w:val="left"/>
    </w:pPr>
    <w:rPr>
      <w:rFonts w:ascii="minorHAnsi" w:eastAsia="minorEastAsia" w:cs="Droid Sans Fallback" w:hAnsi="minorHAnsi"/>
      <w:color w:val="333333"/>
      <w:kern w:val="2"/>
      <w:sz w:val="22"/>
      <w:szCs w:val="22"/>
      <w:lang w:val="en-US" w:eastAsia="zh-CN" w:bidi="ar-SA"/>
    </w:rPr>
  </w:style>
  <w:style w:type="paragraph" w:styleId="1">
    <w:name w:val="heading 1"/>
    <w:basedOn w:val="0"/>
    <w:next w:val="0"/>
    <w:pPr>
      <w:keepNext/>
      <w:keepLines/>
      <w:widowControl w:val="0"/>
      <w:snapToGrid w:val="0"/>
      <w:spacing w:before="0" w:after="0" w:line="408" w:lineRule="auto"/>
      <w:outlineLvl w:val="0"/>
    </w:pPr>
    <w:rPr>
      <w:rFonts w:ascii="minorHAnsi" w:eastAsia="minorEastAsia" w:cs="Droid Sans Fallback" w:hAnsi="minorHAnsi"/>
      <w:b/>
      <w:bCs/>
      <w:color w:val="1A1A1A"/>
      <w:kern w:val="2"/>
      <w:sz w:val="36"/>
      <w:szCs w:val="36"/>
    </w:rPr>
  </w:style>
  <w:style w:type="paragraph" w:styleId="2">
    <w:name w:val="heading 2"/>
    <w:basedOn w:val="0"/>
    <w:next w:val="0"/>
    <w:pPr>
      <w:keepNext/>
      <w:keepLines/>
      <w:widowControl w:val="0"/>
      <w:spacing w:before="0" w:after="0" w:line="408" w:lineRule="auto"/>
      <w:outlineLvl w:val="1"/>
    </w:pPr>
    <w:rPr>
      <w:b/>
      <w:bCs/>
      <w:color w:val="1A1A1A"/>
      <w:sz w:val="32"/>
      <w:szCs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rPr>
      <w:rFonts w:ascii="minorHAnsi" w:eastAsia="minorEastAsia" w:cs="Droid Sans Fallback" w:hAnsi="minorHAnsi"/>
      <w:color w:val="333333"/>
      <w:kern w:val="2"/>
      <w:sz w:val="22"/>
      <w:szCs w:val="22"/>
    </w:rPr>
  </w:style>
  <w:style w:type="character" w:styleId="15">
    <w:name w:val="Hyperlink"/>
    <w:basedOn w:val="10"/>
    <w:rPr>
      <w:color w:val="1E6FFF"/>
      <w:u w:val="single"/>
    </w:rPr>
  </w:style>
  <w:style w:type="paragraph" w:styleId="16">
    <w:name w:val="annotation text"/>
    <w:basedOn w:val="0"/>
    <w:pPr>
      <w:jc w:val="left"/>
    </w:pPr>
  </w:style>
  <w:style w:type="paragraph" w:styleId="17">
    <w:name w:val="annotation subject"/>
    <w:basedOn w:val="16"/>
    <w:next w:val="16"/>
    <w:rPr>
      <w:b/>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styles" Target="styles.xml"/><Relationship Id="rId7" Type="http://schemas.openxmlformats.org/officeDocument/2006/relationships/fontTable" Target="fontTable.xml"/></Relationships>
</file>

<file path=docProps/app.xml><?xml version="1.0" encoding="utf-8"?>
<Properties xmlns="http://schemas.openxmlformats.org/officeDocument/2006/extended-properties">
  <Template>Normal.eit</Template>
  <TotalTime>26</TotalTime>
  <Application>Yozo_Office</Application>
  <Pages>8</Pages>
  <Words>3597</Words>
  <Characters>3954</Characters>
  <Lines>144</Lines>
  <Paragraphs>69</Paragraphs>
  <CharactersWithSpaces>3972</CharactersWithSpaces>
</Properties>
</file>

<file path=docProps/core.xml><?xml version="1.0" encoding="utf-8"?>
<cp:coreProperties xmlns:cp="http://schemas.openxmlformats.org/package/2006/metadata/core-properties" xmlns:dc="http://purl.org/dc/elements/1.1/" xmlns:dcterms="http://purl.org/dc/terms/" xmlns:xsi="http://www.w3.org/2001/XMLSchema-instance">
  <cp:lastModifiedBy>vivo用户</cp:lastModifiedBy>
  <cp:revision>0</cp:revision>
  <dcterms:created xsi:type="dcterms:W3CDTF">2026-05-14T08:16:50Z</dcterms:created>
  <dcterms:modified xsi:type="dcterms:W3CDTF">2026-05-14T01:30:03Z</dcterms:modified>
</cp:coreProperties>
</file>