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7A" w:rsidRPr="0019107A" w:rsidRDefault="0019107A" w:rsidP="0019107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19107A">
        <w:rPr>
          <w:rFonts w:ascii="黑体" w:eastAsia="黑体" w:hAnsi="黑体" w:hint="eastAsia"/>
          <w:b/>
          <w:color w:val="000000" w:themeColor="text1"/>
          <w:sz w:val="28"/>
          <w:szCs w:val="28"/>
        </w:rPr>
        <w:t>中科院半导体所采购清单透视：工艺设备加速国产替代，高端微波测试仪器仍是短板</w:t>
      </w:r>
    </w:p>
    <w:p w:rsidR="00EE23E0" w:rsidRPr="0019107A" w:rsidRDefault="0019107A" w:rsidP="0019107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测仪观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澜</w:t>
      </w:r>
      <w:proofErr w:type="gramEnd"/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近期中科院半导体研究所集中披露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 2026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年上半年半导体设备中标公告，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17 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台套研发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设备合计采购金额超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5000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万元，覆盖光刻、离子注入、薄膜沉积、晶圆检测、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光电与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微波电学测试等前沿半导体研发所需装备。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作为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国内宽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禁带半导体、射频芯片、光电子领域顶尖科研平台，其设备招标选型具备极强风向标意义。对比工艺装备与电子测试仪器的中标结果，能够清晰看见国内半导体装备国产化进程中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不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均衡的发展现状。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一、清单复盘：工艺设备国产化多点开花，测试仪器赛道冷热不均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本次招标中，工艺类国产设备收获颇丰：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芯微碳化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硅高温氧化炉、元戎科技磁控溅射系统、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精诚华旗系列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热处理炉、众望自动打线设备相继中标；测试端，中星联华双通道信号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源实现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落地。国产设备已经可以满足大量半导体材料、器件制备环节需求。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电子测试仪器板块呈现显著两极分化：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1.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是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德科技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 N5227B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毫米波矢量网络分析仪，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475.2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万元大单由进口设备拿下；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2.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 4141H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相位噪声分析仪中标，成为本次采购唯一高端微波测试国产仪器。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矢量网络分析仪（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VN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A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）是表征射频器件、氮化镓、碳化硅功率器件核心仪器，毫米波高性能机型是第三代半导体、毫米波雷达芯片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研发刚需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。这一案例再次印证一个行业现实：中低频、通用测试仪器国产替代稳步推进，高频、毫米波高端矢量网络分析仪依旧牢牢掌握在海外巨头（</w:t>
      </w:r>
      <w:proofErr w:type="spell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Keysight</w:t>
      </w:r>
      <w:proofErr w:type="spellEnd"/>
      <w:r w:rsidRPr="0019107A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R&amp;S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）手中。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二、深层原因：高端微波测试仪器壁垒不止硬件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1.</w:t>
      </w: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硬件底层技术壁垒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高端毫米波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 VNA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涉及宽带射频前端、高稳定信号源、超低噪声接收机、高精度校准模块等核心组件，相位噪声、动态范围、端口匹配等关键指标追赶周期漫长。相比于热处理、溅射等工艺设备，微波仪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器对射频核心元器件、精密测量算法综合能力要求更高。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lastRenderedPageBreak/>
        <w:t>2.</w:t>
      </w: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软件生态与科研惯性壁垒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科研人员长期使用进口仪器形成成熟测试流程，配套校准套件、数据分析脚本、行业标准兼容体系已经固化。更换国产仪器意味着重新搭建测试方案、重新对标实验数据，存在较高切换成本。在前沿学术研究中，科研团队优先选择全球通用的测量平台，保障实验数据可国际复现。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3.</w:t>
      </w: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市场规模制约研发投入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高端毫米波仪器市场总量远小于半导体工艺设备，企业研发投入回报周期更长。国内厂商大多优先布局需求量更大的中低端通用仪器，高端毫米波机型研发投入力度有限。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三、借</w:t>
      </w: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鉴工艺设备发展路径：科研市场是国产仪器必经试炼场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国内半导体热处理、薄膜沉积设备能够快速起量，核心路径就是：先进入中科院、高校科研实验室完成迭代优化，再向产业晶圆线渗透。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这套路径同样适用于电子测试仪器。国家级科研平台拥有最前沿的器件研发需求，能够暴露出仪器在极限工况下的各类缺陷，为厂商提供一手优化反馈。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当前，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等国产头部企业已经在相位噪声分析仪、信号源、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VNA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实现突破。但毫米波高端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 xml:space="preserve"> VNA 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属于重中之重，是国内射频半导体</w:t>
      </w:r>
      <w:proofErr w:type="gramStart"/>
      <w:r w:rsidRPr="0019107A">
        <w:rPr>
          <w:rFonts w:ascii="宋体" w:eastAsia="宋体" w:hAnsi="宋体"/>
          <w:color w:val="000000" w:themeColor="text1"/>
          <w:sz w:val="24"/>
          <w:szCs w:val="24"/>
        </w:rPr>
        <w:t>产业链绕不开</w:t>
      </w:r>
      <w:proofErr w:type="gramEnd"/>
      <w:r w:rsidRPr="0019107A">
        <w:rPr>
          <w:rFonts w:ascii="宋体" w:eastAsia="宋体" w:hAnsi="宋体"/>
          <w:color w:val="000000" w:themeColor="text1"/>
          <w:sz w:val="24"/>
          <w:szCs w:val="24"/>
        </w:rPr>
        <w:t>的核心装备。一旦遭遇出口管制，将直接影响射频功率半导体、毫米波芯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片研发进度。</w:t>
      </w:r>
    </w:p>
    <w:p w:rsidR="00EE23E0" w:rsidRPr="0019107A" w:rsidRDefault="0019107A" w:rsidP="0019107A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b/>
          <w:color w:val="000000" w:themeColor="text1"/>
          <w:sz w:val="24"/>
          <w:szCs w:val="24"/>
        </w:rPr>
        <w:t>四、行业展望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半导体装备国产化天然分层推进：工艺设备先行，测试仪器跟进；中低端产品快速替代，高端产品长期攻坚。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短期来看，海外品牌在高性能毫米波测试仪器市场优势难以快速扭转。长期看，国内下游射频芯片、第三代半导体产业持续扩张，创造庞大本土需求，为国产仪器厂商提供发展土壤。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对于国产仪器企业而言，单纯对标硬件参数远远不够。需要软硬件一体化发力，打造兼容行业标准的测试软件生态，联合科研单位开展定制化联合开发。</w:t>
      </w:r>
    </w:p>
    <w:p w:rsidR="00EE23E0" w:rsidRPr="0019107A" w:rsidRDefault="0019107A" w:rsidP="0019107A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19107A">
        <w:rPr>
          <w:rFonts w:ascii="宋体" w:eastAsia="宋体" w:hAnsi="宋体"/>
          <w:color w:val="000000" w:themeColor="text1"/>
          <w:sz w:val="24"/>
          <w:szCs w:val="24"/>
        </w:rPr>
        <w:t>从本次中科院半导体所采购项目可以预见：未来数年，电子测试仪器行业将迎来关键竞争期。能否拿</w:t>
      </w:r>
      <w:r w:rsidRPr="0019107A">
        <w:rPr>
          <w:rFonts w:ascii="宋体" w:eastAsia="宋体" w:hAnsi="宋体"/>
          <w:color w:val="000000" w:themeColor="text1"/>
          <w:sz w:val="24"/>
          <w:szCs w:val="24"/>
        </w:rPr>
        <w:t>下毫米波矢量网络分析仪等高端市场，将成为衡量国内仪器产业真正实力的标志性战役。</w:t>
      </w:r>
      <w:bookmarkStart w:id="0" w:name="_GoBack"/>
      <w:bookmarkEnd w:id="0"/>
      <w:r w:rsidRPr="0019107A">
        <w:rPr>
          <w:rFonts w:ascii="宋体" w:eastAsia="宋体" w:hAnsi="宋体"/>
          <w:color w:val="000000" w:themeColor="text1"/>
          <w:sz w:val="24"/>
          <w:szCs w:val="24"/>
        </w:rPr>
        <w:t> </w:t>
      </w:r>
    </w:p>
    <w:p w:rsidR="00EE23E0" w:rsidRPr="0019107A" w:rsidRDefault="00EE23E0" w:rsidP="0019107A">
      <w:pPr>
        <w:spacing w:before="0" w:after="0"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EE23E0" w:rsidRPr="0019107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23E0"/>
    <w:rsid w:val="0019107A"/>
    <w:rsid w:val="00EE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1331</Characters>
  <Application>Microsoft Office Word</Application>
  <DocSecurity>0</DocSecurity>
  <Lines>11</Lines>
  <Paragraphs>3</Paragraphs>
  <ScaleCrop>false</ScaleCrop>
  <Company>Organization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2026-08-03T09:54:00Z</dcterms:created>
  <dcterms:modified xsi:type="dcterms:W3CDTF">2026-08-03T03:01:00Z</dcterms:modified>
</cp:coreProperties>
</file>