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pStyle w:val="1"/>
        <w:snapToGrid w:val="0"/>
        <w:spacing w:before="60" w:after="60" w:line="312" w:lineRule="auto"/>
        <w:jc w:val="center"/>
        <w:rPr>
          <w:sz w:val="28"/>
          <w:szCs w:val="28"/>
        </w:rPr>
      </w:pPr>
      <w:r>
        <w:rPr>
          <w:sz w:val="28"/>
          <w:szCs w:val="28"/>
        </w:rPr>
        <w:t>10家企业半年报解读：国产电子测量仪器冷暖分化，光通信测试赛道爆发</w:t>
      </w:r>
    </w:p>
    <w:p>
      <w:pPr>
        <w:jc w:val="center"/>
      </w:pPr>
      <w:r>
        <w:rPr>
          <w:color w:val="000000"/>
          <w:sz w:val="23"/>
        </w:rPr>
        <w:t xml:space="preserve">仪表君 </w:t>
      </w:r>
      <w:r>
        <w:rPr>
          <w:color w:val="576B95"/>
          <w:sz w:val="23"/>
        </w:rPr>
        <w:t>仪表网</w:t>
      </w:r>
    </w:p>
    <w:p>
      <w:pPr>
        <w:jc w:val="both"/>
      </w:pPr>
      <w:r>
        <w:rPr>
          <w:color w:val="333333"/>
          <w:spacing w:val="30"/>
          <w:sz w:val="23"/>
        </w:rPr>
        <w:t>电子测量仪器是电子信息产业的“标尺”，广泛支撑通信、半导体、光模块、新能源等核心领域研发与生产测试，也是我国重点攻关的高端装备赛道。仪表网整理了优利德、华盛昌、创远信科、同惠电子、普源精电、鼎阳科技、电科思仪、坤恒顺维、联讯仪器、精测电子10家电子测量仪器企业202</w:t>
      </w:r>
      <w:bookmarkStart w:id="0" w:name="_GoBack"/>
      <w:bookmarkEnd w:id="0"/>
      <w:r>
        <w:rPr>
          <w:color w:val="333333"/>
          <w:spacing w:val="30"/>
          <w:sz w:val="23"/>
        </w:rPr>
        <w:t>6年半年度数据，企业业绩出现明显分化：AI 光通信测试赛道迎来爆发，通用示波器、精密元器件测试稳步增长；部分射频通信仪器企业短期承压，行业整体呈现结构性繁荣特征。</w:t>
      </w:r>
    </w:p>
    <w:p>
      <w:pPr>
        <w:jc w:val="center"/>
      </w:pPr>
      <w:r>
        <w:drawing>
          <wp:inline distT="0" distB="0" distL="0" distR="0">
            <wp:extent cx="5236210" cy="4560279"/>
            <wp:effectExtent l="0" t="0" r="16" b="31"/>
            <wp:docPr id="1" name="图片 1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3" name="图片 3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 rot="21600000">
                      <a:off x="0" y="0"/>
                      <a:ext cx="5236210" cy="4560279"/>
                    </a:xfrm>
                    <a:prstGeom prst="rect"/>
                    <a:noFill/>
                    <a:ln w="12700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236210" cy="4021625"/>
            <wp:effectExtent l="0" t="0" r="16" b="41"/>
            <wp:docPr id="4" name="图片 4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6" name="图片 6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 rot="21600000">
                      <a:off x="0" y="0"/>
                      <a:ext cx="5236210" cy="4021625"/>
                    </a:xfrm>
                    <a:prstGeom prst="rect"/>
                    <a:noFill/>
                    <a:ln w="12700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236210" cy="3127306"/>
            <wp:effectExtent l="0" t="0" r="16" b="11"/>
            <wp:docPr id="7" name="图片 7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9" name="图片 9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21600000">
                      <a:off x="0" y="0"/>
                      <a:ext cx="5236210" cy="3127306"/>
                    </a:xfrm>
                    <a:prstGeom prst="rect"/>
                    <a:noFill/>
                    <a:ln w="12700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jc w:val="center"/>
      </w:pPr>
      <w:r>
        <w:drawing>
          <wp:inline distT="0" distB="0" distL="0" distR="0">
            <wp:extent cx="5236210" cy="4048616"/>
            <wp:effectExtent l="0" t="0" r="16" b="18"/>
            <wp:docPr id="10" name="图片 10" descr="descript"/>
            <wp:cNvGraphicFramePr>
              <a:graphicFrameLocks noChangeAspect="0"/>
            </wp:cNvGraphicFramePr>
            <a:graphic>
              <a:graphicData uri="http://schemas.openxmlformats.org/drawingml/2006/picture">
                <pic:pic>
                  <pic:nvPicPr>
                    <pic:cNvPr id="12" name="图片 1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 rot="21600000">
                      <a:off x="0" y="0"/>
                      <a:ext cx="5236210" cy="4048616"/>
                    </a:xfrm>
                    <a:prstGeom prst="rect"/>
                    <a:noFill/>
                    <a:ln w="12700" cmpd="sng" cap="flat">
                      <a:noFill/>
                      <a:prstDash val="solid"/>
                      <a:miter/>
                    </a:ln>
                  </pic:spPr>
                </pic:pic>
              </a:graphicData>
            </a:graphic>
          </wp:inline>
        </w:drawing>
      </w:r>
    </w:p>
    <w:p>
      <w:pPr>
        <w:jc w:val="both"/>
      </w:pPr>
    </w:p>
    <w:p>
      <w:pPr>
        <w:jc w:val="both"/>
      </w:pPr>
      <w:r>
        <w:rPr>
          <w:color w:val="333333"/>
          <w:spacing w:val="30"/>
          <w:sz w:val="23"/>
        </w:rPr>
        <w:t>从营收来看，10家企业营收梯队差异显著。联讯仪器依托 AI 算力带动的高速光模块测试需求，上半年营收15.31亿元，同比大幅增长208.71%，归母净利润5.67亿元，同比增幅高达903%，成为本次10家企业中业绩弹性最大的企业，1.6T 光模块测试设备大规模出货，直接拉动营收与利润爆发。精测电子以18.12亿元营收位居样本营收榜首，同比增长31.19%，归母净利润0.75亿元，同比增长171.21%，半导体检测业务订单持续修复，带动企业盈利改善。</w:t>
      </w:r>
    </w:p>
    <w:p>
      <w:pPr>
        <w:jc w:val="both"/>
      </w:pPr>
      <w:r>
        <w:rPr>
          <w:color w:val="333333"/>
          <w:spacing w:val="30"/>
          <w:sz w:val="23"/>
        </w:rPr>
        <w:t>电科思仪作为国内电子测量仪器国家队，上半年营收9.66亿元，小幅下滑2.78%，归母净利润1.67亿元，同比小幅增长4%，在营收略有承压的背景下依旧保持盈利韧性，依托齐全的产品矩阵深耕微波毫米波、光电测量等高端领域。优利德营收8.15亿元，同比增长32.02%，海外市场持续拓展带动通用测试仪表业务高增；华盛昌营收4.79亿元，同比增长37.09%，工业及环境检测仪器需求向好。普源精电、鼎阳科技两家示波器龙头营收分别达到4.87亿元、3.58亿元，同比增幅接近30%，高端示波器国产替代持续推进。</w:t>
      </w:r>
    </w:p>
    <w:p>
      <w:pPr>
        <w:jc w:val="both"/>
      </w:pPr>
      <w:r>
        <w:rPr>
          <w:color w:val="333333"/>
          <w:spacing w:val="30"/>
          <w:sz w:val="23"/>
        </w:rPr>
        <w:t>与此同时，部分射频通信测试企业面临压力。创远信科上半年营收0.76亿元，同比下滑31.52%，归母净利润亏损0.20亿元，由盈转亏；坤恒顺维营收0.98亿元，同比下降4.36%，归母净利润0.11亿元，同比下滑15.41%，无线电仿真测试业务短期需求疲软。同惠电子业绩平稳，营收1.14亿元，同比增长13.08%，精密阻抗、安规测试仪器业务稳健增长。</w:t>
      </w:r>
    </w:p>
    <w:p>
      <w:pPr>
        <w:jc w:val="both"/>
      </w:pPr>
      <w:r>
        <w:rPr>
          <w:color w:val="333333"/>
          <w:spacing w:val="30"/>
          <w:sz w:val="23"/>
        </w:rPr>
        <w:t>毛利率反映产品结构与赛道附加值，10家企业毛利率呈现清晰分层。联讯仪器凭借高速光通信测试设备，毛利率高达70.79%，在10家企业中领先；坤恒顺维、鼎阳科技紧随其后，毛利率分别为64.29%、63.89%，高端射频仿真、示波器产品具备较强溢价能力。同惠电子、普源精电、电科思仪毛利率均超过50%，产品以中高端测试仪器为主。优利德、精测电子、创远信科毛利率处于40%-50%区间；华盛昌毛利率39.78%，以通用便携式检测仪器为主，产品附加值相对偏低。整体来看，越靠近 AI 算力、高端射频等前沿赛道，产品毛利率水平越高；通用民用类测试仪器毛利率相对更低。</w:t>
      </w:r>
    </w:p>
    <w:p>
      <w:pPr>
        <w:jc w:val="both"/>
      </w:pPr>
      <w:r>
        <w:rPr>
          <w:color w:val="333333"/>
          <w:spacing w:val="30"/>
          <w:sz w:val="23"/>
        </w:rPr>
        <w:t>研发投入是电子测量仪器行业的核心生命线，高端仪器技术壁垒高、研发周期长，持续的研发投入是国产企业突破技术瓶颈的基础。坤恒顺维研发费用率达到40.93%，10家企业中最高，企业持续加码无线电仿真领域技术研发，虽然短期业绩承压，但保持高强度研发布局。精测电子研发费用3.91亿元，研发费用率21.58%，在半导体检测设备上投入巨大；鼎阳科技研发费率19.84%，普源精电18.48%，电科思仪17.05%，示波器、微波仪器龙头持续投入高端产品迭代。同惠电子研发费率13.16%；优利德、华盛昌、联讯仪器研发费率相对偏低，联讯仪器依托成熟的光测试产品放量，现阶段研发投入占比仅7.45%。创远信科研发费率30.26%，在收入下滑阶段仍维持较高研发投入，坚守射频仪器赛道技术储备。</w:t>
      </w:r>
    </w:p>
    <w:p>
      <w:pPr>
        <w:jc w:val="both"/>
      </w:pPr>
      <w:r>
        <w:rPr>
          <w:color w:val="333333"/>
          <w:spacing w:val="30"/>
          <w:sz w:val="23"/>
        </w:rPr>
        <w:t>分赛道来看，行业结构性机会十分突出。高速光通信测试赛道是2026年上半年最大亮点，AI 大模型算力建设拉动高速光模块需求，光模块产线测试设备需求同步爆发，联讯仪器业绩暴涨印证赛道红利。半导体检测赛道景气修复，精测电子受益国内半导体产线扩产，检测设备订单回暖，盈利大幅改善。示波器赛道国产替代稳步推进，普源精电、鼎阳科技持续向中高端市场突破，逐步替代海外进口产品，营收保持稳定增长。通用便携式仪表赛道受益海外市场开拓，优利德、华盛昌海外订单增长，业绩稳健向上。射频微波、无线电仿真赛道则出现短期需求波动，创远信科、坤恒顺维业绩承压，行业需求或处于阶段性底部。</w:t>
      </w:r>
    </w:p>
    <w:p>
      <w:pPr>
        <w:jc w:val="both"/>
      </w:pPr>
      <w:r>
        <w:rPr>
          <w:color w:val="333333"/>
          <w:spacing w:val="30"/>
          <w:sz w:val="23"/>
        </w:rPr>
        <w:t>展望后市，电子测量仪器长期成长逻辑不变。一方面，国产替代仍是主线，在高端示波器、微波毫米波仪器、半导体测试设备领域，国内市场仍大量依赖海外品牌，国产厂商持续突破，中长期空间广阔。另一方面，AI 算力、高速光通信、半导体、新能源等新兴产业持续发展，不断催生新的测试测量需求，打开行业增量空间。但行业挑战同样存在，高端仪器技术攻关难度大，研发投入高、回报周期长；部分细分赛道需求存在周期性波动，企业业绩容易出现起伏；海外头部企业技术积累深厚，市场竞争依旧激烈。</w:t>
      </w:r>
    </w:p>
    <w:p>
      <w:pPr>
        <w:jc w:val="both"/>
      </w:pPr>
      <w:r>
        <w:rPr>
          <w:color w:val="333333"/>
          <w:spacing w:val="30"/>
          <w:sz w:val="23"/>
        </w:rPr>
        <w:t>综合来看，2026上半年国产电子测量仪器行业已经告别普涨阶段，进入结构性行情。具备技术壁垒、卡位高景气赛道的企业能够收获业绩高增长；而处于传统射频通信细分领域的企业短期面临压力。未来，能否持续保持研发创新、抓住新兴产业测试需求、稳步推进高端产品国产替代，将成为决定国产电子测量仪器企业长期竞争力的关键。</w:t>
      </w:r>
    </w:p>
    <w:p>
      <w:pPr>
        <w:jc w:val="both"/>
      </w:pPr>
      <w:r>
        <w:rPr>
          <w:color w:val="888888"/>
          <w:spacing w:val="30"/>
          <w:sz w:val="18"/>
        </w:rPr>
        <w:t>数据来源：优利德、华盛昌、创远信科、同惠电子、普源精电、鼎阳科技、电科思仪、坤恒顺维、联讯仪器、精测电子2026年半年度报告。数据仅供交流学习，不构成任何投资建议。</w:t>
      </w:r>
    </w:p>
    <w:p>
      <w:pPr>
        <w:jc w:val="left"/>
      </w:pPr>
    </w:p>
    <w:sectPr>
      <w:pgSz w:w="11906" w:h="16838"/>
      <w:pgMar w:top="1440" w:right="1800" w:bottom="1440" w:left="1800" w:header="712" w:footer="853" w:gutter="0"/>
      <w:docGrid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minorHAnsi">
    <w:altName w:val="Noto Sans CJK SC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minorEastAsia">
    <w:altName w:val="Noto Sans CJK SC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Droid Sans Fallback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uxi Sans">
    <w:altName w:val="Noto Sans CJK SC"/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黑体">
    <w:panose1 w:val="00000000000000000000"/>
    <w:charset w:val="00"/>
    <w:family w:val="auto"/>
    <w:pitch w:val="variable"/>
    <w:sig w:usb0="00000000" w:usb1="00000000" w:usb2="00000000" w:usb3="00000000" w:csb0="00000000" w:csb1="00000000"/>
  </w:font>
</w:fonts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74"/>
  <w:bordersDoNotSurroundHeader/>
  <w:bordersDoNotSurroundFooter/>
  <w:defaultTabStop w:val="420"/>
  <w:drawingGridHorizontalSpacing w:val="110"/>
  <w:drawingGridVerticalSpacing w:val="156"/>
  <w:displayHorizontalDrawingGridEvery w:val="0"/>
  <w:displayVerticalDrawingGridEvery w:val="1"/>
  <w:compat>
    <w:spaceForUL/>
    <w:balanceSingleByteDoubleByteWidth/>
    <w:ulTrailSpace/>
    <w:doNotExpandShiftReturn/>
    <w:adjustLineHeightInTable/>
    <w:growAutofit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snapToGrid w:val="0"/>
      <w:spacing w:before="60" w:after="60" w:line="312" w:lineRule="auto"/>
      <w:jc w:val="left"/>
    </w:pPr>
    <w:rPr>
      <w:rFonts w:ascii="minorHAnsi" w:eastAsia="minorEastAsia" w:cs="Droid Sans Fallback" w:hAnsi="minorHAnsi"/>
      <w:color w:val="333333"/>
      <w:kern w:val="2"/>
      <w:sz w:val="22"/>
      <w:szCs w:val="22"/>
    </w:rPr>
  </w:style>
  <w:style w:type="paragraph" w:styleId="1">
    <w:name w:val="heading 1"/>
    <w:basedOn w:val="0"/>
    <w:next w:val="0"/>
    <w:pPr>
      <w:keepNext/>
      <w:keepLines/>
      <w:widowControl w:val="0"/>
      <w:spacing w:before="0" w:after="0" w:line="408" w:lineRule="auto"/>
      <w:outlineLvl w:val="0"/>
    </w:pPr>
    <w:rPr>
      <w:b/>
      <w:bCs/>
      <w:color w:val="1A1A1A"/>
      <w:sz w:val="36"/>
      <w:szCs w:val="36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黑体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2.png"/><Relationship Id="rId3" Type="http://schemas.openxmlformats.org/officeDocument/2006/relationships/image" Target="media/5.png"/><Relationship Id="rId4" Type="http://schemas.openxmlformats.org/officeDocument/2006/relationships/image" Target="media/8.png"/><Relationship Id="rId5" Type="http://schemas.openxmlformats.org/officeDocument/2006/relationships/image" Target="media/11.png"/><Relationship Id="rId6" Type="http://schemas.openxmlformats.org/officeDocument/2006/relationships/styles" Target="style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</TotalTime>
  <Application>Yozo_Office</Application>
  <Pages>5</Pages>
  <Words>2047</Words>
  <Characters>2247</Characters>
  <Lines>87</Lines>
  <Paragraphs>12</Paragraphs>
  <CharactersWithSpaces>2256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cp:lastModifiedBy>vivo用户</cp:lastModifiedBy>
  <cp:revision>0</cp:revision>
  <dcterms:created xsi:type="dcterms:W3CDTF">2026-09-20T16:55:22Z</dcterms:created>
  <dcterms:modified xsi:type="dcterms:W3CDTF">2026-09-20T08:57:35Z</dcterms:modified>
</cp:coreProperties>
</file>