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Default Extension="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电科思仪矢量网络分析仪电子校准变革 用户自表征突破边界，一致性检测闭环验证</w:t>
      </w:r>
    </w:p>
    <w:p>
      <w:pPr>
        <w:jc w:val="center"/>
      </w:pPr>
      <w:r>
        <w:rPr>
          <w:color w:val="576B95"/>
          <w:sz w:val="23"/>
        </w:rPr>
        <w:t>来源：电科思仪</w:t>
      </w:r>
    </w:p>
    <w:p>
      <w:pPr>
        <w:jc w:val="both"/>
      </w:pPr>
      <w:r>
        <w:rPr>
          <w:color w:val="3E3E3E"/>
          <w:sz w:val="24"/>
        </w:rPr>
        <w:t xml:space="preserve">    在高端研发、智能制造与前沿科学探索中，矢量网络分析仪（VNA）是洞察射频微波世界不可或缺的“眼睛”。这双“眼睛”是否看得准、看得稳，完全依赖于其校准精度与可靠性。传统校准方法受限于硬件固化、效率低与隐性误差风险，制约了测量精度的提升。今天，中电科思仪科技股份有限公司（电科思仪），正式推出双轮驱动的新一代VNA电子校准方案。它以用户自表征与一致性检测两大核心技术，将电子校准从单一的误差修正工具，演进为一个集智能适应、闭环验证于一体的综合性精度保障平台，有效提升了校准的可靠性与效率。</w:t>
      </w:r>
    </w:p>
    <w:p>
      <w:pPr>
        <w:jc w:val="both"/>
      </w:pPr>
    </w:p>
    <w:p>
      <w:pPr>
        <w:spacing w:before="150" w:after="150"/>
        <w:jc w:val="center"/>
      </w:pPr>
      <w:r>
        <w:drawing>
          <wp:inline distT="0" distB="0" distL="0" distR="0">
            <wp:extent cx="5236210" cy="3080470"/>
            <wp:effectExtent l="0" t="0" r="16" b="37"/>
            <wp:docPr id="1" name="图片 1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3080470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3E3E3E"/>
          <w:sz w:val="18"/>
        </w:rPr>
        <w:t>图1矢量网络分析仪电子校准件用户自表征</w:t>
      </w:r>
    </w:p>
    <w:p>
      <w:pPr>
        <w:spacing w:before="45"/>
        <w:jc w:val="both"/>
      </w:pPr>
      <w:r>
        <w:rPr>
          <w:b/>
          <w:color w:val="FFFFFF"/>
          <w:sz w:val="21"/>
        </w:rPr>
        <w:t>用户自表征：突破频率与连接的物理边界，实现极简校准</w:t>
      </w:r>
    </w:p>
    <w:p>
      <w:pPr>
        <w:jc w:val="both"/>
      </w:pPr>
    </w:p>
    <w:p>
      <w:pPr>
        <w:jc w:val="both"/>
      </w:pPr>
      <w:r>
        <w:rPr>
          <w:color w:val="3E3E3E"/>
          <w:sz w:val="24"/>
        </w:rPr>
        <w:t xml:space="preserve">    电科思仪推出的电子校准件用户自表征技术，将传统电子校准件转变为灵活可配置的解决方案，实现“一‘件’多用”，从而提升测试效率，降低设备配置与运维复杂度。</w:t>
      </w:r>
    </w:p>
    <w:p>
      <w:pPr>
        <w:jc w:val="both"/>
      </w:pPr>
    </w:p>
    <w:p>
      <w:pPr>
        <w:jc w:val="both"/>
      </w:pPr>
      <w:r>
        <w:rPr>
          <w:color w:val="3E3E3E"/>
          <w:sz w:val="24"/>
        </w:rPr>
        <w:t xml:space="preserve">    频段灵活定义，连接智能匹配：可在硬件物理限定范围内，用户无需更换硬件，通过软件操作即可重新定义电子校准件频段，轻松应对不同频段被测件的测试需求，可避免多频段测试设备冗余与高成本；电子校准件出厂标配固定极性接口，用户自表征技术，智能调整极性与适配不同被测件连接类型，极大减少频繁更换校准件带来的繁琐与误差风险。测试3.5mm双阴转接器，可通过高精度转接器与用户自表征技术，降低因使用阴阳电子校准件导致的极性不匹配误差。</w:t>
      </w:r>
    </w:p>
    <w:p>
      <w:pPr>
        <w:jc w:val="both"/>
      </w:pPr>
    </w:p>
    <w:p>
      <w:pPr>
        <w:spacing w:before="150" w:after="150"/>
        <w:jc w:val="center"/>
      </w:pPr>
      <w:r>
        <w:drawing>
          <wp:inline distT="0" distB="0" distL="0" distR="0">
            <wp:extent cx="5236210" cy="2763555"/>
            <wp:effectExtent l="0" t="0" r="16" b="14"/>
            <wp:docPr id="4" name="图片 4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2763555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3E3E3E"/>
          <w:sz w:val="18"/>
        </w:rPr>
        <w:t>图2用户自表征前后的测试结果对比</w:t>
      </w:r>
    </w:p>
    <w:p>
      <w:pPr>
        <w:jc w:val="both"/>
      </w:pPr>
    </w:p>
    <w:p>
      <w:pPr>
        <w:jc w:val="left"/>
      </w:pPr>
    </w:p>
    <w:p>
      <w:pPr>
        <w:spacing w:before="45"/>
        <w:jc w:val="both"/>
      </w:pPr>
      <w:r>
        <w:rPr>
          <w:b/>
          <w:color w:val="FFFFFF"/>
          <w:sz w:val="21"/>
        </w:rPr>
        <w:t>一致性检测：构建校准-验证可信闭环，实现校准状态可知</w:t>
      </w:r>
    </w:p>
    <w:p>
      <w:pPr>
        <w:jc w:val="both"/>
      </w:pPr>
    </w:p>
    <w:p>
      <w:pPr>
        <w:jc w:val="both"/>
      </w:pPr>
      <w:r>
        <w:rPr>
          <w:color w:val="3E3E3E"/>
          <w:sz w:val="24"/>
        </w:rPr>
        <w:t xml:space="preserve">    一致性检测旨在解决校准的“可信度”问题，它使用户可以为每次校准增加独立物理验证，构筑质量防火墙。其核心在于电子校准件内置了一个独立、超高稳定性的专用验证状态。该状态“标准”S参数在出厂前已被固化为不可篡改的溯源基准。执行“一致性检测”，系统可自动切换至该通路，测量并实现实时结果与内部基准的精密比对。</w:t>
      </w:r>
      <w:bookmarkStart w:id="0" w:name="_GoBack"/>
      <w:bookmarkEnd w:id="0"/>
    </w:p>
    <w:p>
      <w:pPr>
        <w:spacing w:before="150" w:after="150"/>
        <w:jc w:val="center"/>
      </w:pPr>
      <w:r>
        <w:drawing>
          <wp:inline distT="0" distB="0" distL="0" distR="0">
            <wp:extent cx="5236210" cy="5941988"/>
            <wp:effectExtent l="0" t="0" r="16" b="2"/>
            <wp:docPr id="7" name="图片 7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" name="图片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5941988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before="150" w:after="150"/>
        <w:jc w:val="center"/>
      </w:pPr>
      <w:r>
        <w:drawing>
          <wp:inline distT="0" distB="0" distL="0" distR="0">
            <wp:extent cx="5236210" cy="3489131"/>
            <wp:effectExtent l="0" t="0" r="16" b="13"/>
            <wp:docPr id="10" name="图片 10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" name="图片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3489131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3E3E3E"/>
          <w:sz w:val="18"/>
        </w:rPr>
        <w:t>图3一致性检测-电子校验入口及界面</w:t>
      </w:r>
    </w:p>
    <w:p>
      <w:pPr>
        <w:jc w:val="both"/>
      </w:pPr>
    </w:p>
    <w:p>
      <w:pPr>
        <w:jc w:val="both"/>
      </w:pPr>
      <w:r>
        <w:rPr>
          <w:color w:val="3E3E3E"/>
          <w:sz w:val="24"/>
        </w:rPr>
        <w:t xml:space="preserve">    测试结果可通过图形化界面，辅以反射系数/回波损耗矢量差等判据量化，校准质量清晰可视，有效拦截错误数据。同时，该功能可通过长期监测验证数据趋势，提前预警校准件、测试电缆及VNA本身的性能退化，实现从被动维护向预测性维护的转变</w:t>
      </w:r>
    </w:p>
    <w:p>
      <w:pPr>
        <w:jc w:val="both"/>
      </w:pPr>
      <w:r>
        <w:rPr>
          <w:color w:val="3E3E3E"/>
          <w:sz w:val="24"/>
        </w:rPr>
        <w:t>电科思仪新一代电子校准方案，标志着校准技术从一项后台辅助工序，向保障测量系统的战略跃迁。不仅是自动化水平的提升，更赋予系统实时状态监测能力。</w:t>
      </w:r>
    </w:p>
    <w:p>
      <w:pPr>
        <w:jc w:val="both"/>
      </w:pPr>
      <w:r>
        <w:rPr>
          <w:color w:val="3E3E3E"/>
          <w:sz w:val="24"/>
        </w:rPr>
        <w:t>选择电科思仪，即选择对测量精度与系统可靠性的掌控。让我们携手，以这场校准技术变革为起点，共同推动中国智造迈向更精准、更可靠、更智能的未来！</w:t>
      </w:r>
    </w:p>
    <w:p>
      <w:pPr>
        <w:spacing w:before="150" w:after="150"/>
        <w:jc w:val="center"/>
      </w:pPr>
    </w:p>
    <w:p>
      <w:pPr>
        <w:jc w:val="left"/>
      </w:pPr>
    </w:p>
    <w:sectPr>
      <w:pgSz w:w="11906" w:h="16838"/>
      <w:pgMar w:top="1440" w:right="1800" w:bottom="1440" w:left="1800" w:header="712" w:footer="853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HAnsi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EastAsia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301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1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napToGrid w:val="0"/>
      <w:spacing w:before="60" w:after="60" w:line="312" w:lineRule="auto"/>
      <w:jc w:val="left"/>
    </w:pPr>
    <w:rPr>
      <w:rFonts w:ascii="minorHAnsi" w:eastAsia="minorEastAsia" w:cs="Droid Sans Fallback" w:hAnsi="minorHAnsi"/>
      <w:color w:val="333333"/>
      <w:kern w:val="2"/>
      <w:sz w:val="2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napToGrid w:val="0"/>
      <w:spacing w:before="0" w:after="0" w:line="408" w:lineRule="auto"/>
      <w:outlineLvl w:val="0"/>
    </w:pPr>
    <w:rPr>
      <w:rFonts w:ascii="minorHAnsi" w:eastAsia="minorEastAsia" w:cs="Droid Sans Fallback" w:hAnsi="minorHAnsi"/>
      <w:b/>
      <w:bCs/>
      <w:color w:val="1A1A1A"/>
      <w:kern w:val="2"/>
      <w:sz w:val="36"/>
      <w:szCs w:val="36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g"/><Relationship Id="rId3" Type="http://schemas.openxmlformats.org/officeDocument/2006/relationships/image" Target="media/5.png"/><Relationship Id="rId4" Type="http://schemas.openxmlformats.org/officeDocument/2006/relationships/image" Target="media/8.png"/><Relationship Id="rId5" Type="http://schemas.openxmlformats.org/officeDocument/2006/relationships/image" Target="media/11.png"/><Relationship Id="rId6" Type="http://schemas.openxmlformats.org/officeDocument/2006/relationships/styles" Target="style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11</TotalTime>
  <Application>Yozo_Office</Application>
  <Pages>4</Pages>
  <Words>1060</Words>
  <Characters>1071</Characters>
  <Lines>50</Lines>
  <Paragraphs>14</Paragraphs>
  <CharactersWithSpaces>1092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vivo用户</cp:lastModifiedBy>
  <cp:revision>0</cp:revision>
  <dcterms:created xsi:type="dcterms:W3CDTF">2026-09-21T15:32:26Z</dcterms:created>
  <dcterms:modified xsi:type="dcterms:W3CDTF">2026-09-21T07:44:15Z</dcterms:modified>
</cp:coreProperties>
</file>