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5F" w:rsidRPr="0007425F" w:rsidRDefault="0007425F" w:rsidP="0007425F">
      <w:pPr>
        <w:spacing w:before="0" w:after="0" w:line="360" w:lineRule="auto"/>
        <w:ind w:firstLineChars="200" w:firstLine="562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07425F">
        <w:rPr>
          <w:rFonts w:ascii="黑体" w:eastAsia="黑体" w:hAnsi="黑体"/>
          <w:b/>
          <w:color w:val="000000" w:themeColor="text1"/>
          <w:sz w:val="28"/>
          <w:szCs w:val="28"/>
        </w:rPr>
        <w:t>矢量网络分析仪（VNA）国内5家代表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/>
          <w:color w:val="000000" w:themeColor="text1"/>
          <w:sz w:val="24"/>
          <w:szCs w:val="24"/>
        </w:rPr>
        <w:t>来源：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</w:rPr>
        <w:t>徐小饭</w:t>
      </w:r>
    </w:p>
    <w:p w:rsid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选取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电科思仪、鼎阳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科技、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普源精电、创远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信科、成都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玖锦科技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五家有公开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产品的国内厂商，比较主机频段、扩频系统、校准能力与高速互连应用；并非营收、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市占率或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性能绝对排名。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一、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究竟测到什么：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S11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、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S21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与复数相位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矢量网络分析仪（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）并非简单测“某个频率还有没有信号”。它发出相干扫频激励，同时记录入射、反射和透射信号的幅度与相位，形成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S11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S21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等复数散射参数。对射频滤波器、天线、线缆、光模块射频链路与高速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，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参数能揭示插损、回损、群时延、阻抗失配和串扰位置。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本文的“国内五强”是五家具有可核实产品或系统的代表厂商，不是统一口径的市场占有率、营收或性能榜。不同产品有同轴主机、手持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/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便携、模块化、外接毫米波扩频等结构；“系统覆盖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”不等于主机同轴端口原生覆盖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。比较时还要把校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准面、动态范围、端口数与应用场景放在一起。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以两端口被测件为例，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的方向耦合器区分入射、反射与透射波。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S11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表征输入端反射；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S21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表征从端口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到端口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的传输。由于同时记录幅度和相位，可以计算阻抗与群时延，也能通过频域到时域的变换定位线缆或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链路中的反射位置。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71BBF8C" wp14:editId="4E900CC4">
            <wp:extent cx="4460320" cy="2036741"/>
            <wp:effectExtent l="0" t="0" r="21" b="42"/>
            <wp:docPr id="1" name="图片 1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4460320" cy="2036741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59009E" w:rsidRPr="0007425F" w:rsidRDefault="0007425F" w:rsidP="0007425F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以相干扫频和参考、反射、透射接收机计算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S11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与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S21</w:t>
      </w:r>
      <w:bookmarkStart w:id="0" w:name="_GoBack"/>
      <w:bookmarkEnd w:id="0"/>
    </w:p>
    <w:p w:rsid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“矢量”意味着相位可测，不等于矢量信号分析仪（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VSA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）。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VSA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解调复杂调制信号，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则更适合在小信号扫频条件下测线性网络特性；它给出高速通道频域基础，却不会仅凭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一张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S21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曲线证明整机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PAM4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眼图或误码率。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lastRenderedPageBreak/>
        <w:t>二、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高频测量的门槛首先是校准面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把仪器端口接到器件前，测试电缆、转接头和夹具已经加入自己的反射与损耗。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SOLT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使用开路、短路、负载、直通等已知标准建立误差模型；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TRL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通过传输线标准适合某些片上、板级环境。电子校准件可减少连接次数，但并不取消校准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件本身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的精度与复验要求。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74689CF" wp14:editId="38216C11">
            <wp:extent cx="4553608" cy="2060369"/>
            <wp:effectExtent l="0" t="0" r="34" b="47"/>
            <wp:docPr id="4" name="图片 4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4553608" cy="206036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59009E" w:rsidRPr="0007425F" w:rsidRDefault="0007425F" w:rsidP="0007425F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SOLT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／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TRL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校准与去嵌入把参考面推到真正的被测器件端口</w:t>
      </w:r>
    </w:p>
    <w:p w:rsid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07425F">
        <w:rPr>
          <w:rFonts w:ascii="宋体" w:eastAsia="宋体" w:hAnsi="宋体"/>
          <w:color w:val="000000" w:themeColor="text1"/>
          <w:sz w:val="24"/>
          <w:szCs w:val="24"/>
          <w:shd w:val="clear" w:color="auto" w:fill="FFFFFF"/>
        </w:rPr>
        <w:t xml:space="preserve">    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在高速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或芯片封装测试中，参考面还要通过去嵌入移到被测器件真正的端口。接头反复插拔、线缆弯折、探针接触和温度漂移会改变校准状态。因此“最高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50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”或“最高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110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”只是选型起点；在目标频段的动态范围、迹线噪声和不确定度同样重要。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三、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高速互连为何需要差分与多端口数据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高速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通常是一对差分线，不是两根互不相关的单端线。四端口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可获得单端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参数并转换成混合模参数，例如差分传输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Sdd21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、差分反射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Sdd11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与模式转换项，帮助发现不平衡过孔、参考平面开口和连接器不连续点。对于滤波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器，则更看通带插损、带外抑制与群时延；天线阵列还要看端口隔离和匹配。</w:t>
      </w:r>
    </w:p>
    <w:p w:rsidR="0059009E" w:rsidRPr="0007425F" w:rsidRDefault="0059009E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p w:rsidR="0059009E" w:rsidRPr="0007425F" w:rsidRDefault="0059009E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  <w:shd w:val="clear" w:color="auto" w:fill="FFFFFF"/>
        </w:rPr>
      </w:pPr>
    </w:p>
    <w:p w:rsidR="0059009E" w:rsidRPr="0007425F" w:rsidRDefault="0007425F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  <w:shd w:val="clear" w:color="auto" w:fill="FFFFFF"/>
        </w:rPr>
      </w:pPr>
      <w:r w:rsidRPr="0007425F">
        <w:rPr>
          <w:rFonts w:ascii="宋体" w:eastAsia="宋体" w:hAnsi="宋体"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753BA5E8" wp14:editId="0C58BE67">
            <wp:extent cx="3317877" cy="1272492"/>
            <wp:effectExtent l="0" t="0" r="11" b="28"/>
            <wp:docPr id="7" name="图片 7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3317877" cy="1272492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59009E" w:rsidRPr="0007425F" w:rsidRDefault="0007425F" w:rsidP="0007425F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滤波器、高速差分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与多端口器件对应不同的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参数关注点</w:t>
      </w:r>
    </w:p>
    <w:p w:rsid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测量频率上限必须覆盖目标损耗与反射分析频带，但并不是端口数据率除以二的简单等号。对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 xml:space="preserve">212.5 </w:t>
      </w:r>
      <w:proofErr w:type="spell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GBaud</w:t>
      </w:r>
      <w:proofErr w:type="spell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或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224 Gb/s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级互连，要按具体调制、通道带宽、谐波与建模目标确定仪表和夹具；最终系统质量仍需眼图、抖动与误码测试配合。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四、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同轴主机与毫米波扩频是两种不同能力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同轴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主机通过自身源、接收机和同轴接口覆盖标称频段。要延伸到更高毫米波或太赫兹频率，常采用外部频率扩展模块、波导和探针，将信号变换后送到器件。扩展后的频段属于“主机＋扩频头＋连接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/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校准”的系统能力，不能把它写成所有主机端口的原生指标。</w:t>
      </w:r>
    </w:p>
    <w:p w:rsidR="0007425F" w:rsidRDefault="0007425F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07425F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4CD4237" wp14:editId="5171D979">
            <wp:extent cx="3438938" cy="1601008"/>
            <wp:effectExtent l="0" t="0" r="11" b="24"/>
            <wp:docPr id="10" name="图片 10" descr="descrip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3438938" cy="1601008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同轴主机与外接毫米波扩频模块的频段口径和误差来源不同</w:t>
      </w:r>
    </w:p>
    <w:p w:rsid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扩频系统的关键不只在最高频率，还在扩频链路可用动态范围、波导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/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探针损耗、频率转换杂散、不同模块切换和端口校准一致性。毫米波晶圆测试对探针台、标准片和温度控制同样敏感，因此仪表厂的竞争从整机延伸到校准件、扩频头、软件和自动测试系统。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五、</w:t>
      </w: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国内产业链的参与位置</w:t>
      </w:r>
    </w:p>
    <w:p w:rsidR="0059009E" w:rsidRPr="0007425F" w:rsidRDefault="0007425F" w:rsidP="0007425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8"/>
        </w:rPr>
        <w:t>电科思仪</w:t>
      </w:r>
      <w:proofErr w:type="gramEnd"/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业务涉及：射频、微波、毫米波与太赫兹网络分析。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官网列有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3674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、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3622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等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系列及电子校准件，覆盖研发、生产和现场等不同形态；具体型号频段与配置应按各产品规格书核对，不能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拿整个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产品线的上限代替某台设备。</w:t>
      </w:r>
    </w:p>
    <w:p w:rsidR="0059009E" w:rsidRPr="0007425F" w:rsidRDefault="0007425F" w:rsidP="0007425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8"/>
        </w:rPr>
        <w:t>鼎阳科技</w:t>
      </w:r>
      <w:proofErr w:type="gramEnd"/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业务涉及：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SNA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系列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及射频微波测试平台。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2026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年半年报披露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SNA6000A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系列最高测量频率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50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，并将其列入高端射频产品；外接扩频能力应与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50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主机指标分开表述。</w:t>
      </w:r>
    </w:p>
    <w:p w:rsidR="0059009E" w:rsidRPr="0007425F" w:rsidRDefault="0007425F" w:rsidP="0007425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8"/>
        </w:rPr>
        <w:t>普源精电</w:t>
      </w:r>
      <w:proofErr w:type="gramEnd"/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业务涉及：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DNA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系列双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端口、四端口与便携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。</w:t>
      </w:r>
      <w:proofErr w:type="gramStart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官网产品</w:t>
      </w:r>
      <w:proofErr w:type="gramEnd"/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线包括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DNA5000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、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DNA6000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、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DNA800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等，部分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DNA6000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配置到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26.5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；频谱仪的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模式与专用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DNA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系列仪表不是同一产品档次。</w:t>
      </w:r>
    </w:p>
    <w:p w:rsidR="0059009E" w:rsidRPr="0007425F" w:rsidRDefault="0007425F" w:rsidP="0007425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8"/>
        </w:rPr>
        <w:t>创远信</w:t>
      </w:r>
      <w:proofErr w:type="gramEnd"/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8"/>
        </w:rPr>
        <w:t>科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业务涉及：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T5260A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系列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和毫米波扩频测试系统。公司公开资料列有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20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等主机配置及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110 GHz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测试系统，后者应明确是扩频系统频段而非一台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T5260A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主机的原生同轴频段。</w:t>
      </w:r>
    </w:p>
    <w:p w:rsidR="0059009E" w:rsidRPr="0007425F" w:rsidRDefault="0007425F" w:rsidP="0007425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8"/>
        </w:rPr>
        <w:t>成都玖锦科技</w:t>
      </w:r>
      <w:proofErr w:type="gramEnd"/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业务涉及：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VNA1000A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、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VNA5000A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等矢量网络分析仪和高端测试附件。公开产品目录列示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VNA5000A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8"/>
        </w:rPr>
        <w:t>，应用于微波网络幅相、群时延与器件测试；型号的最高频段、端口和校准方式需按选配规格确认。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关联说明：五家公司按公开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整机或系统产品的技术代表性选取，不表示相互供货、市场份额领先或技术水平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严格排序。频率上限只是一个规格，动态范围、校准不确定度、端口数与应用适配须结合具体型号比较。</w:t>
      </w:r>
    </w:p>
    <w:p w:rsidR="0059009E" w:rsidRPr="0007425F" w:rsidRDefault="0007425F" w:rsidP="0007425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EDF5F5"/>
        </w:rPr>
        <w:t>总结</w:t>
      </w:r>
    </w:p>
    <w:p w:rsidR="0059009E" w:rsidRPr="0007425F" w:rsidRDefault="0007425F" w:rsidP="0007425F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国产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VNA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的价值不只是把频率上限推高，而是把相干源、接收机、校准件、扩频系统与测量软件串成可信的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S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参数链路。对于高频器件和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AI</w:t>
      </w:r>
      <w:r w:rsidRPr="0007425F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5"/>
        </w:rPr>
        <w:t>高速互连，选择仪表要先定义被测件、参考面与所需误差预算，再看五家厂商各自的产品形态。</w:t>
      </w:r>
    </w:p>
    <w:sectPr w:rsidR="0059009E" w:rsidRPr="0007425F">
      <w:pgSz w:w="11906" w:h="16838"/>
      <w:pgMar w:top="1440" w:right="1800" w:bottom="1440" w:left="1800" w:header="712" w:footer="853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orHAnsi">
    <w:altName w:val="Times New Roman"/>
    <w:charset w:val="00"/>
    <w:family w:val="auto"/>
    <w:pitch w:val="variable"/>
  </w:font>
  <w:font w:name="minorEastAsia">
    <w:altName w:val="Times New Roman"/>
    <w:charset w:val="00"/>
    <w:family w:val="auto"/>
    <w:pitch w:val="variable"/>
  </w:font>
  <w:font w:name="Droid Sans Fallback">
    <w:altName w:val="Times New Roman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characterSpacingControl w:val="doNotCompress"/>
  <w:savePreviewPicture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rsids>
    <w:rsidRoot w:val="0059009E"/>
    <w:rsid w:val="0007425F"/>
    <w:rsid w:val="0059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napToGrid w:val="0"/>
      <w:spacing w:before="60" w:after="60" w:line="312" w:lineRule="auto"/>
    </w:pPr>
    <w:rPr>
      <w:rFonts w:ascii="minorHAnsi" w:eastAsia="minorEastAsia" w:hAnsi="minorHAnsi" w:cs="Droid Sans Fallback"/>
      <w:color w:val="333333"/>
      <w:kern w:val="2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7425F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7425F"/>
    <w:rPr>
      <w:rFonts w:ascii="minorHAnsi" w:eastAsia="minorEastAsia" w:hAnsi="minorHAnsi" w:cs="Droid Sans Fallback"/>
      <w:color w:val="333333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napToGrid w:val="0"/>
      <w:spacing w:before="60" w:after="60" w:line="312" w:lineRule="auto"/>
    </w:pPr>
    <w:rPr>
      <w:rFonts w:ascii="minorHAnsi" w:eastAsia="minorEastAsia" w:hAnsi="minorHAnsi" w:cs="Droid Sans Fallback"/>
      <w:color w:val="333333"/>
      <w:kern w:val="2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7425F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7425F"/>
    <w:rPr>
      <w:rFonts w:ascii="minorHAnsi" w:eastAsia="minorEastAsia" w:hAnsi="minorHAnsi" w:cs="Droid Sans Fallback"/>
      <w:color w:val="33333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340</Words>
  <Characters>1944</Characters>
  <Application>Microsoft Office Word</Application>
  <DocSecurity>0</DocSecurity>
  <Lines>16</Lines>
  <Paragraphs>4</Paragraphs>
  <ScaleCrop>false</ScaleCrop>
  <Company>Organization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1</cp:revision>
  <dcterms:created xsi:type="dcterms:W3CDTF">2026-09-25T14:13:00Z</dcterms:created>
  <dcterms:modified xsi:type="dcterms:W3CDTF">2026-09-27T09:28:00Z</dcterms:modified>
</cp:coreProperties>
</file>