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E67" w:rsidRPr="00B21E67" w:rsidRDefault="00B21E67" w:rsidP="00B21E67">
      <w:pPr>
        <w:spacing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bookmarkStart w:id="0" w:name="_GoBack"/>
      <w:r w:rsidRPr="00B21E67">
        <w:rPr>
          <w:rFonts w:ascii="黑体" w:eastAsia="黑体" w:hAnsi="黑体"/>
          <w:b/>
          <w:color w:val="000000" w:themeColor="text1"/>
          <w:sz w:val="28"/>
          <w:szCs w:val="28"/>
        </w:rPr>
        <w:t>30</w:t>
      </w:r>
      <w:proofErr w:type="gramStart"/>
      <w:r w:rsidRPr="00B21E67">
        <w:rPr>
          <w:rFonts w:ascii="黑体" w:eastAsia="黑体" w:hAnsi="黑体" w:hint="eastAsia"/>
          <w:b/>
          <w:color w:val="000000" w:themeColor="text1"/>
          <w:sz w:val="28"/>
          <w:szCs w:val="28"/>
        </w:rPr>
        <w:t>万亿</w:t>
      </w:r>
      <w:proofErr w:type="gramEnd"/>
      <w:r w:rsidRPr="00B21E67">
        <w:rPr>
          <w:rFonts w:ascii="黑体" w:eastAsia="黑体" w:hAnsi="黑体" w:hint="eastAsia"/>
          <w:b/>
          <w:color w:val="000000" w:themeColor="text1"/>
          <w:sz w:val="28"/>
          <w:szCs w:val="28"/>
        </w:rPr>
        <w:t>元！“十五五”规划发布，明确</w:t>
      </w:r>
      <w:r w:rsidRPr="00B21E67">
        <w:rPr>
          <w:rFonts w:ascii="黑体" w:eastAsia="黑体" w:hAnsi="黑体"/>
          <w:b/>
          <w:color w:val="000000" w:themeColor="text1"/>
          <w:sz w:val="28"/>
          <w:szCs w:val="28"/>
        </w:rPr>
        <w:t>2030</w:t>
      </w:r>
      <w:r w:rsidRPr="00B21E67">
        <w:rPr>
          <w:rFonts w:ascii="黑体" w:eastAsia="黑体" w:hAnsi="黑体" w:hint="eastAsia"/>
          <w:b/>
          <w:color w:val="000000" w:themeColor="text1"/>
          <w:sz w:val="28"/>
          <w:szCs w:val="28"/>
        </w:rPr>
        <w:t>年中国电子信息制造业发展目标</w:t>
      </w:r>
      <w:bookmarkEnd w:id="0"/>
      <w:r w:rsidRPr="00B21E67">
        <w:rPr>
          <w:rFonts w:ascii="黑体" w:eastAsia="黑体" w:hAnsi="黑体"/>
          <w:b/>
          <w:color w:val="000000" w:themeColor="text1"/>
          <w:sz w:val="28"/>
          <w:szCs w:val="28"/>
        </w:rPr>
        <w:t xml:space="preserve"> </w:t>
      </w:r>
    </w:p>
    <w:p w:rsidR="00B21E67" w:rsidRPr="00B21E67" w:rsidRDefault="00B21E67" w:rsidP="00B21E67">
      <w:pPr>
        <w:spacing w:line="360" w:lineRule="auto"/>
        <w:jc w:val="center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来源：中国电子报、电子信息</w:t>
      </w:r>
      <w:proofErr w:type="gramStart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产业网</w:t>
      </w:r>
      <w:proofErr w:type="gramEnd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　</w:t>
      </w:r>
      <w:r w:rsidRPr="00B21E67">
        <w:rPr>
          <w:rFonts w:ascii="宋体" w:eastAsia="宋体" w:hAnsi="宋体" w:hint="eastAsia"/>
          <w:color w:val="000000" w:themeColor="text1"/>
          <w:kern w:val="0"/>
          <w:sz w:val="24"/>
          <w:szCs w:val="24"/>
        </w:rPr>
        <w:t>作者：</w:t>
      </w:r>
      <w:proofErr w:type="gramStart"/>
      <w:r w:rsidRPr="00B21E67">
        <w:rPr>
          <w:rFonts w:ascii="宋体" w:eastAsia="宋体" w:hAnsi="宋体" w:hint="eastAsia"/>
          <w:color w:val="000000" w:themeColor="text1"/>
          <w:kern w:val="0"/>
          <w:sz w:val="24"/>
          <w:szCs w:val="24"/>
        </w:rPr>
        <w:t>齐旭</w:t>
      </w:r>
      <w:proofErr w:type="gramEnd"/>
      <w:r w:rsidRPr="00B21E67">
        <w:rPr>
          <w:rFonts w:ascii="宋体" w:eastAsia="宋体" w:hAnsi="宋体"/>
          <w:color w:val="000000" w:themeColor="text1"/>
          <w:kern w:val="0"/>
          <w:sz w:val="24"/>
          <w:szCs w:val="24"/>
        </w:rPr>
        <w:t xml:space="preserve"> </w:t>
      </w:r>
    </w:p>
    <w:p w:rsidR="00B21E67" w:rsidRPr="00B21E67" w:rsidRDefault="00B21E67" w:rsidP="00B21E67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工业和信息化部和国家发展改革委联合印发《电子信息制造业发展“十五五”规划》（以下简称《规划》），旨在进一步提升我国电子信息制造业竞争力，统筹高质量发展和高水平安全，全力维护国民经济稳定运行。</w:t>
      </w:r>
      <w:r w:rsidRPr="00B21E67">
        <w:rPr>
          <w:rFonts w:ascii="宋体" w:eastAsia="宋体" w:hAnsi="宋体"/>
          <w:color w:val="000000" w:themeColor="text1"/>
          <w:sz w:val="24"/>
          <w:szCs w:val="24"/>
        </w:rPr>
        <w:t xml:space="preserve"> </w:t>
      </w:r>
    </w:p>
    <w:p w:rsidR="00B21E67" w:rsidRPr="00B21E67" w:rsidRDefault="00B21E67" w:rsidP="00B21E67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B21E67">
        <w:rPr>
          <w:rFonts w:ascii="宋体" w:eastAsia="宋体" w:hAnsi="宋体"/>
          <w:color w:val="000000" w:themeColor="text1"/>
          <w:sz w:val="24"/>
          <w:szCs w:val="24"/>
        </w:rPr>
        <w:t>“</w:t>
      </w:r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十四五”期间，我国电子信息制造业连续</w:t>
      </w:r>
      <w:r w:rsidRPr="00B21E67">
        <w:rPr>
          <w:rFonts w:ascii="宋体" w:eastAsia="宋体" w:hAnsi="宋体"/>
          <w:color w:val="000000" w:themeColor="text1"/>
          <w:sz w:val="24"/>
          <w:szCs w:val="24"/>
        </w:rPr>
        <w:t>13</w:t>
      </w:r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年在</w:t>
      </w:r>
      <w:r w:rsidRPr="00B21E67">
        <w:rPr>
          <w:rFonts w:ascii="宋体" w:eastAsia="宋体" w:hAnsi="宋体"/>
          <w:color w:val="000000" w:themeColor="text1"/>
          <w:sz w:val="24"/>
          <w:szCs w:val="24"/>
        </w:rPr>
        <w:t>41</w:t>
      </w:r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个工业大类中位居第一，在推动工业经济</w:t>
      </w:r>
      <w:proofErr w:type="gramStart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稳增长</w:t>
      </w:r>
      <w:proofErr w:type="gramEnd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方面发挥了重要的支柱作用。集成电路、服务器、新型显示等产业实现新突破，人工智能终端发展进入快车道，北斗规模应用取得新进展，为加快推进新型工业化、建设制造强国和网络强国</w:t>
      </w:r>
      <w:proofErr w:type="gramStart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作出</w:t>
      </w:r>
      <w:proofErr w:type="gramEnd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了积极贡献。 </w:t>
      </w:r>
    </w:p>
    <w:p w:rsidR="00B21E67" w:rsidRPr="00B21E67" w:rsidRDefault="00B21E67" w:rsidP="00B21E67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根据《规划》，预计到2030年，我国电子信息制造业在全球产业格局中发挥举足轻重作用，规模以上企业营业收入突破30</w:t>
      </w:r>
      <w:proofErr w:type="gramStart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万亿</w:t>
      </w:r>
      <w:proofErr w:type="gramEnd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元，在集成电路、先进计算、消费电子、基础电子、能源电子等领域涌现一批长板技术和产品，形成具有竞争力的世界一流企业。产业研发投入强度达到3.5%。产业硬件、软件、标准、专利协同取得新进展，区域布局和国际合作取得新成效。智能化、绿色化、融合化发展水平提高，为保障国民经济和社会发展安全、提升人民物质文化生活水平提供有力支撑。 </w:t>
      </w:r>
    </w:p>
    <w:p w:rsidR="00B21E67" w:rsidRPr="00B21E67" w:rsidRDefault="00B21E67" w:rsidP="00B21E67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《规划》主要围绕“筑牢产业基础能力、增强电子整机与系统竞争力、培育产业发展新增长点、增强产业可持续发展能力”四个方面，部署了17项任务、9个专栏。 </w:t>
      </w:r>
    </w:p>
    <w:p w:rsidR="00B21E67" w:rsidRPr="00B21E67" w:rsidRDefault="00B21E67" w:rsidP="00B21E67">
      <w:pPr>
        <w:spacing w:line="360" w:lineRule="auto"/>
        <w:ind w:firstLineChars="200" w:firstLine="482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B21E67">
        <w:rPr>
          <w:rFonts w:ascii="宋体" w:eastAsia="宋体" w:hAnsi="宋体" w:hint="eastAsia"/>
          <w:b/>
          <w:color w:val="000000" w:themeColor="text1"/>
          <w:sz w:val="24"/>
          <w:szCs w:val="24"/>
        </w:rPr>
        <w:t>筑牢产业基础能力方面，《规划》提出推动集成电路全链条攻关。</w:t>
      </w:r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发展高性能处理器、高密度存储器、高可靠性模拟和数模混合芯片等高端芯片产品。提升集成电路制造水平，做精做细成熟制程，提高</w:t>
      </w:r>
      <w:proofErr w:type="gramStart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先进制程能力</w:t>
      </w:r>
      <w:proofErr w:type="gramEnd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。推动先进封装测试技术开发和应用。推动宽禁带半导体产业提质升级，推动氧化镓、金刚石等超宽禁带半导体产业化发展。加快发展电子设计自动化工具（EDA）和知识产权核（IP核），推进三维集成等技术突破和应用。加快智能传感器创新与应用。明确提升</w:t>
      </w:r>
      <w:proofErr w:type="gramStart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微机电</w:t>
      </w:r>
      <w:proofErr w:type="gramEnd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系统（MEMS）等智能传感器工艺能力。推动一批主流智能传感器产品向高端迈进，提升谱系化供给能力和系统级应用能力，推动智能传感器在重点行业和场景的融合应用。 </w:t>
      </w:r>
    </w:p>
    <w:p w:rsidR="00B21E67" w:rsidRDefault="00B21E67" w:rsidP="00B21E67">
      <w:pPr>
        <w:spacing w:line="360" w:lineRule="auto"/>
        <w:ind w:firstLineChars="200" w:firstLine="482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B21E67">
        <w:rPr>
          <w:rFonts w:ascii="宋体" w:eastAsia="宋体" w:hAnsi="宋体" w:hint="eastAsia"/>
          <w:b/>
          <w:color w:val="000000" w:themeColor="text1"/>
          <w:sz w:val="24"/>
          <w:szCs w:val="24"/>
        </w:rPr>
        <w:lastRenderedPageBreak/>
        <w:t>增强电子整机与系统竞争力方面，《规划》提出构筑先进计算生态体系。</w:t>
      </w:r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加快计算架构、数据存储、高速互连、软硬协同、</w:t>
      </w:r>
      <w:proofErr w:type="gramStart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算电协同</w:t>
      </w:r>
      <w:proofErr w:type="gramEnd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等先进计算产品及技术创新攻关，持续提升计算根技术、关键元器件、核心零部件、软件算法、计算设备等供给水平。构建异构协同计算体系，开发面向人工智能大模型训练及推理的计算微架构。加快消费电子创新发展。持续推动手机、个人计算机、视听电子、虚拟现实、可穿戴设备、服务类新型终端等消费电子产品智能化、融合化升级。推动“视听友好”工作，发展护眼护耳产品，提升电子产品用户体验。推进消费电子</w:t>
      </w:r>
      <w:proofErr w:type="gramStart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适</w:t>
      </w:r>
      <w:proofErr w:type="gramEnd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老化改造，发展智慧健康养老产业。 </w:t>
      </w:r>
    </w:p>
    <w:p w:rsidR="00B21E67" w:rsidRDefault="00B21E67" w:rsidP="00B21E67">
      <w:pPr>
        <w:spacing w:line="360" w:lineRule="auto"/>
        <w:ind w:firstLineChars="200" w:firstLine="482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B21E67">
        <w:rPr>
          <w:rFonts w:ascii="宋体" w:eastAsia="宋体" w:hAnsi="宋体" w:hint="eastAsia"/>
          <w:b/>
          <w:color w:val="000000" w:themeColor="text1"/>
          <w:sz w:val="24"/>
          <w:szCs w:val="24"/>
        </w:rPr>
        <w:t>培育产业发展新增长点方面，《规划》明确促进时空信息产业发展。</w:t>
      </w:r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纵深推进北斗规模化应用。支持北斗芯片、算法、抗干扰、星地融合等技术攻关。促进北斗导航、卫星互联网、空间遥感等协同融合发展。前瞻布局卫星互联网，拓展直连卫星终端应用场景，完善终端产业生态。夯实人工智能硬件底座。</w:t>
      </w:r>
      <w:proofErr w:type="gramStart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面向具身智能</w:t>
      </w:r>
      <w:proofErr w:type="gramEnd"/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、自动驾驶等领域开发端侧推理设备及芯片，巩固扩大人工智能芯片应用规模。推动计算高速互连总线统一协议系列规范编制实施。持续推动人工智能手机、个人计算机、智能眼镜、视听终端、车载终端、工业终端、商业终端等产品迭代升级。建立人工智能终端智能化分级标准体系和评估体系，加强标准实施推广。 </w:t>
      </w:r>
    </w:p>
    <w:p w:rsidR="00B21E67" w:rsidRPr="00B21E67" w:rsidRDefault="00B21E67" w:rsidP="00B21E67">
      <w:pPr>
        <w:spacing w:line="360" w:lineRule="auto"/>
        <w:ind w:firstLineChars="200" w:firstLine="482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B21E67">
        <w:rPr>
          <w:rFonts w:ascii="宋体" w:eastAsia="宋体" w:hAnsi="宋体" w:hint="eastAsia"/>
          <w:b/>
          <w:color w:val="000000" w:themeColor="text1"/>
          <w:sz w:val="24"/>
          <w:szCs w:val="24"/>
        </w:rPr>
        <w:t>增强产业可持续发展能力方面，《规划》明确全面提升自主创新能力。</w:t>
      </w:r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加强电子信息领域高价值专利布局，靠前储备关键核心技术领域专利，建立集成电路、北斗、光伏、新型电池等重点领域专利池。持续完善电子信息制造业标准体系，加快重点标准制修订及实施，加强国家标准、行业标准协同，推进军民标准通用化。提升产业治理现代化能力。统筹推进细分行业产能规划布局和产能预警，综合整治“内卷式”竞争。加强锂电池等领域安全生产管理，提升本质安全水平。加快发展服务型制造，开展定制化服务、检验检测、信息增值服务等模式应用，延伸服务链条。 </w:t>
      </w:r>
    </w:p>
    <w:p w:rsidR="00D02623" w:rsidRPr="00B21E67" w:rsidRDefault="00B21E67" w:rsidP="00B21E67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B21E67">
        <w:rPr>
          <w:rFonts w:ascii="宋体" w:eastAsia="宋体" w:hAnsi="宋体" w:hint="eastAsia"/>
          <w:color w:val="000000" w:themeColor="text1"/>
          <w:sz w:val="24"/>
          <w:szCs w:val="24"/>
        </w:rPr>
        <w:t>记者从工业和信息化部获悉，下一步，工业和信息化部将通过大力开展政策宣贯，加强政策统筹协调，加强产教融合和产融合作，开展规划实施监测与评估，充分发挥行业协会商会优势和作用，全力保障《规划》顺利实施，推动电子信息制造业高质量发展。</w:t>
      </w:r>
    </w:p>
    <w:sectPr w:rsidR="00D02623" w:rsidRPr="00B21E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3D6"/>
    <w:rsid w:val="000763EE"/>
    <w:rsid w:val="001E2470"/>
    <w:rsid w:val="00255EF1"/>
    <w:rsid w:val="0031467B"/>
    <w:rsid w:val="003903D6"/>
    <w:rsid w:val="003C2455"/>
    <w:rsid w:val="00484D36"/>
    <w:rsid w:val="00692EAA"/>
    <w:rsid w:val="00703FE1"/>
    <w:rsid w:val="00804B5B"/>
    <w:rsid w:val="008E5C5E"/>
    <w:rsid w:val="009066AF"/>
    <w:rsid w:val="00AD21A1"/>
    <w:rsid w:val="00B21E67"/>
    <w:rsid w:val="00D02623"/>
    <w:rsid w:val="00E0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268</Words>
  <Characters>1532</Characters>
  <Application>Microsoft Office Word</Application>
  <DocSecurity>0</DocSecurity>
  <Lines>12</Lines>
  <Paragraphs>3</Paragraphs>
  <ScaleCrop>false</ScaleCrop>
  <Company>Organization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2026-09-28T00:18:00Z</dcterms:created>
  <dcterms:modified xsi:type="dcterms:W3CDTF">2026-09-28T00:25:00Z</dcterms:modified>
</cp:coreProperties>
</file>